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17" w:rsidRDefault="005B34EA">
      <w:pPr>
        <w:pStyle w:val="1"/>
        <w:ind w:firstLine="482"/>
        <w:rPr>
          <w:rFonts w:ascii="宋体" w:hAnsi="宋体" w:cs="宋体"/>
        </w:rPr>
      </w:pPr>
      <w:bookmarkStart w:id="0" w:name="_Toc16575"/>
      <w:bookmarkStart w:id="1" w:name="_Toc23497"/>
      <w:bookmarkStart w:id="2" w:name="_Toc5351"/>
      <w:bookmarkStart w:id="3" w:name="_Toc13907"/>
      <w:bookmarkStart w:id="4" w:name="_Toc22078"/>
      <w:r>
        <w:rPr>
          <w:rFonts w:ascii="宋体" w:hAnsi="宋体" w:cs="宋体" w:hint="eastAsia"/>
        </w:rPr>
        <w:t>制剂药品包装盒采购需求</w:t>
      </w:r>
      <w:bookmarkEnd w:id="0"/>
      <w:bookmarkEnd w:id="1"/>
      <w:bookmarkEnd w:id="2"/>
      <w:bookmarkEnd w:id="3"/>
      <w:bookmarkEnd w:id="4"/>
    </w:p>
    <w:p w:rsidR="00742A17" w:rsidRDefault="005B34EA">
      <w:pPr>
        <w:adjustRightInd w:val="0"/>
        <w:snapToGrid w:val="0"/>
        <w:spacing w:line="400" w:lineRule="exact"/>
        <w:ind w:firstLineChars="0" w:firstLine="0"/>
        <w:outlineLvl w:val="1"/>
        <w:rPr>
          <w:rFonts w:ascii="宋体" w:hAnsi="宋体"/>
          <w:b/>
          <w:szCs w:val="21"/>
        </w:rPr>
      </w:pPr>
      <w:r>
        <w:rPr>
          <w:rFonts w:ascii="宋体" w:hAnsi="宋体" w:hint="eastAsia"/>
          <w:b/>
          <w:szCs w:val="21"/>
        </w:rPr>
        <w:t>一、项目概况</w:t>
      </w:r>
    </w:p>
    <w:p w:rsidR="00742A17" w:rsidRPr="00E675B7" w:rsidRDefault="005B34EA">
      <w:pPr>
        <w:spacing w:beforeLines="50" w:before="156" w:afterLines="50" w:after="156"/>
        <w:ind w:firstLine="420"/>
        <w:rPr>
          <w:rFonts w:ascii="宋体" w:hAnsi="宋体"/>
          <w:szCs w:val="21"/>
        </w:rPr>
      </w:pPr>
      <w:r w:rsidRPr="00E675B7">
        <w:rPr>
          <w:rFonts w:ascii="宋体" w:hAnsi="宋体" w:hint="eastAsia"/>
          <w:szCs w:val="21"/>
        </w:rPr>
        <w:t>1、本次采购内容为制剂药品包装盒，要求供应商提供的物品必须是合格的、未曾使用过的全新产品。所供货物必须适用于各种特定的医疗环境使用的特性和使用要求。</w:t>
      </w:r>
    </w:p>
    <w:p w:rsidR="00742A17" w:rsidRPr="00E675B7" w:rsidRDefault="005B34EA" w:rsidP="00E675B7">
      <w:pPr>
        <w:spacing w:beforeLines="50" w:before="156" w:afterLines="50" w:after="156"/>
        <w:ind w:firstLine="420"/>
        <w:rPr>
          <w:rFonts w:ascii="宋体" w:hAnsi="宋体"/>
          <w:szCs w:val="21"/>
        </w:rPr>
      </w:pPr>
      <w:r w:rsidRPr="00E675B7">
        <w:rPr>
          <w:rFonts w:ascii="宋体" w:hAnsi="宋体" w:hint="eastAsia"/>
          <w:szCs w:val="21"/>
        </w:rPr>
        <w:t>2、供货期：2年，具体合同起止时间由采购人确定。</w:t>
      </w:r>
    </w:p>
    <w:p w:rsidR="00742A17" w:rsidRPr="00E675B7" w:rsidRDefault="005B34EA" w:rsidP="00E675B7">
      <w:pPr>
        <w:spacing w:beforeLines="50" w:before="156" w:afterLines="50" w:after="156"/>
        <w:ind w:firstLine="420"/>
        <w:rPr>
          <w:rFonts w:ascii="宋体" w:hAnsi="宋体"/>
          <w:szCs w:val="21"/>
        </w:rPr>
      </w:pPr>
      <w:r w:rsidRPr="00E675B7">
        <w:rPr>
          <w:rFonts w:ascii="宋体" w:hAnsi="宋体" w:hint="eastAsia"/>
          <w:szCs w:val="21"/>
        </w:rPr>
        <w:t>3、供货地点：</w:t>
      </w:r>
    </w:p>
    <w:p w:rsidR="00742A17" w:rsidRPr="00E675B7" w:rsidRDefault="005B34EA" w:rsidP="00E675B7">
      <w:pPr>
        <w:spacing w:beforeLines="50" w:before="156" w:afterLines="50" w:after="156"/>
        <w:ind w:firstLine="420"/>
        <w:rPr>
          <w:rFonts w:ascii="宋体" w:hAnsi="宋体"/>
          <w:szCs w:val="21"/>
        </w:rPr>
      </w:pPr>
      <w:r w:rsidRPr="00E675B7">
        <w:rPr>
          <w:rFonts w:ascii="宋体" w:hAnsi="宋体" w:hint="eastAsia"/>
          <w:szCs w:val="21"/>
        </w:rPr>
        <w:t>（1）浙江大学医学院附属儿童医院湖滨院区采购人指定地点（杭州市拱墅区竹竿巷57号）。</w:t>
      </w:r>
    </w:p>
    <w:p w:rsidR="00742A17" w:rsidRPr="00E675B7" w:rsidRDefault="005B34EA" w:rsidP="00E675B7">
      <w:pPr>
        <w:spacing w:beforeLines="50" w:before="156" w:afterLines="50" w:after="156"/>
        <w:ind w:firstLine="420"/>
        <w:rPr>
          <w:rFonts w:ascii="宋体" w:hAnsi="宋体"/>
          <w:szCs w:val="21"/>
        </w:rPr>
      </w:pPr>
      <w:r w:rsidRPr="00E675B7">
        <w:rPr>
          <w:rFonts w:ascii="宋体" w:hAnsi="宋体" w:hint="eastAsia"/>
          <w:szCs w:val="21"/>
        </w:rPr>
        <w:t>（2）浙江大学医学院附属儿童医院滨江院区采购人指定地点（杭州市滨江区滨盛路3333号）。</w:t>
      </w:r>
    </w:p>
    <w:p w:rsidR="00742A17" w:rsidRPr="00E675B7" w:rsidRDefault="005B34EA" w:rsidP="00E675B7">
      <w:pPr>
        <w:pStyle w:val="a0"/>
        <w:ind w:firstLineChars="200"/>
        <w:rPr>
          <w:rFonts w:ascii="宋体" w:eastAsia="宋体" w:hAnsi="宋体"/>
          <w:szCs w:val="21"/>
        </w:rPr>
      </w:pPr>
      <w:r w:rsidRPr="00E675B7">
        <w:rPr>
          <w:rFonts w:ascii="宋体" w:eastAsia="宋体" w:hAnsi="宋体" w:hint="eastAsia"/>
          <w:szCs w:val="21"/>
        </w:rPr>
        <w:t>（3）若有新增地点，双方提前沟通协调确认。</w:t>
      </w:r>
    </w:p>
    <w:p w:rsidR="00742A17" w:rsidRPr="00E675B7" w:rsidRDefault="005B34EA" w:rsidP="00E675B7">
      <w:pPr>
        <w:spacing w:beforeLines="50" w:before="156" w:afterLines="50" w:after="156"/>
        <w:ind w:firstLine="420"/>
        <w:rPr>
          <w:rFonts w:ascii="宋体" w:hAnsi="宋体"/>
          <w:szCs w:val="21"/>
        </w:rPr>
      </w:pPr>
      <w:r w:rsidRPr="00E675B7">
        <w:rPr>
          <w:rFonts w:ascii="宋体" w:hAnsi="宋体" w:hint="eastAsia"/>
          <w:szCs w:val="21"/>
        </w:rPr>
        <w:t>4、供应商须承诺所供全部产品的质量符合或优于国家和行业的技术标准和规范、安全。否则，供应商将承担一切经济损失的赔偿及法律责任。</w:t>
      </w:r>
    </w:p>
    <w:p w:rsidR="00742A17" w:rsidRPr="00E675B7" w:rsidRDefault="005B34EA" w:rsidP="00E675B7">
      <w:pPr>
        <w:spacing w:beforeLines="50" w:before="156" w:afterLines="50" w:after="156"/>
        <w:ind w:firstLine="420"/>
        <w:rPr>
          <w:rFonts w:ascii="宋体" w:hAnsi="宋体"/>
          <w:szCs w:val="21"/>
        </w:rPr>
      </w:pPr>
      <w:r w:rsidRPr="00E675B7">
        <w:rPr>
          <w:rFonts w:ascii="宋体" w:hAnsi="宋体" w:hint="eastAsia"/>
          <w:szCs w:val="21"/>
        </w:rPr>
        <w:t>5、供应商货物与本技术要求不一致时，供应商应在响应文件中予以说明，并由评审小组鉴定供应商货物能否达到要求。如供应商没有在响应文件中提出异议，则视为供应商提供的货物完全按照本采购文件要求。</w:t>
      </w:r>
    </w:p>
    <w:p w:rsidR="00742A17" w:rsidRPr="00E675B7" w:rsidRDefault="005B34EA">
      <w:pPr>
        <w:spacing w:beforeLines="50" w:before="156" w:afterLines="50" w:after="156"/>
        <w:ind w:firstLine="420"/>
        <w:rPr>
          <w:rFonts w:ascii="宋体" w:hAnsi="宋体"/>
          <w:szCs w:val="21"/>
        </w:rPr>
      </w:pPr>
      <w:r w:rsidRPr="00E675B7">
        <w:rPr>
          <w:rFonts w:ascii="宋体" w:hAnsi="宋体" w:hint="eastAsia"/>
          <w:szCs w:val="21"/>
        </w:rPr>
        <w:t>6、供货方式和交货期：</w:t>
      </w:r>
    </w:p>
    <w:p w:rsidR="00742A17" w:rsidRPr="00E675B7" w:rsidRDefault="005B34EA">
      <w:pPr>
        <w:spacing w:beforeLines="50" w:before="156" w:afterLines="50" w:after="156"/>
        <w:ind w:firstLine="420"/>
        <w:rPr>
          <w:rFonts w:ascii="宋体" w:hAnsi="宋体"/>
          <w:szCs w:val="21"/>
        </w:rPr>
      </w:pPr>
      <w:r w:rsidRPr="00E675B7">
        <w:rPr>
          <w:rFonts w:ascii="宋体" w:hAnsi="宋体" w:hint="eastAsia"/>
          <w:szCs w:val="21"/>
        </w:rPr>
        <w:t>供应商按采购人要求按需分批次供货。要求收到采购人供货通知后7个自然日内（应急物资供货为接到采购人通知后24小时内送达），按采购人要求的数量供货到采购人指定的使用地点交付使用，订货以电话或书面形式通知供货方。</w:t>
      </w:r>
    </w:p>
    <w:p w:rsidR="00742A17" w:rsidRPr="00E675B7" w:rsidRDefault="005B34EA">
      <w:pPr>
        <w:pStyle w:val="6"/>
        <w:adjustRightInd w:val="0"/>
        <w:snapToGrid w:val="0"/>
        <w:spacing w:line="360" w:lineRule="auto"/>
        <w:ind w:left="0" w:firstLineChars="200" w:firstLine="420"/>
        <w:rPr>
          <w:rFonts w:ascii="宋体" w:hAnsi="宋体"/>
        </w:rPr>
      </w:pPr>
      <w:r w:rsidRPr="00E675B7">
        <w:rPr>
          <w:rFonts w:ascii="宋体" w:hAnsi="宋体" w:hint="eastAsia"/>
        </w:rPr>
        <w:t>供货期特殊要求:本次采购不是一次性供货，一般情况下，供应商需每月供货多次，具体由采购人提出，单次采购数量不定，不分时间，不分次数，一旦提出供货需求，供货商在接到具体订单的7个自然日内生产并供货，供货商不得以采购数量少，供货过于分散，价格低等理由拒绝供货。未按要求完成供货的，采购人有权不予支付货款，直至解除合同。</w:t>
      </w:r>
    </w:p>
    <w:p w:rsidR="00742A17" w:rsidRPr="00E675B7" w:rsidRDefault="00ED6DB2">
      <w:pPr>
        <w:spacing w:beforeLines="50" w:before="156" w:afterLines="50" w:after="156"/>
        <w:ind w:firstLine="420"/>
        <w:rPr>
          <w:rFonts w:ascii="宋体" w:hAnsi="宋体"/>
          <w:szCs w:val="21"/>
        </w:rPr>
      </w:pPr>
      <w:r>
        <w:rPr>
          <w:rFonts w:ascii="宋体" w:hAnsi="宋体" w:hint="eastAsia"/>
          <w:szCs w:val="21"/>
        </w:rPr>
        <w:t>7、</w:t>
      </w:r>
      <w:r w:rsidR="005B34EA" w:rsidRPr="00E675B7">
        <w:rPr>
          <w:rFonts w:ascii="宋体" w:hAnsi="宋体" w:hint="eastAsia"/>
          <w:szCs w:val="21"/>
        </w:rPr>
        <w:t>若成交供应商在服务过程中实际提供的产品无法满足所承诺或采购人要求的，采购方有权将另行采购，所产生的损失均由成交供应商承担。</w:t>
      </w:r>
    </w:p>
    <w:p w:rsidR="00742A17" w:rsidRDefault="00742A17">
      <w:pPr>
        <w:pStyle w:val="a0"/>
        <w:ind w:firstLine="210"/>
        <w:rPr>
          <w:szCs w:val="21"/>
        </w:rPr>
      </w:pPr>
    </w:p>
    <w:p w:rsidR="00742A17" w:rsidRDefault="005B34EA">
      <w:pPr>
        <w:pStyle w:val="2"/>
      </w:pPr>
      <w:bookmarkStart w:id="5" w:name="_Toc15828"/>
      <w:r>
        <w:rPr>
          <w:rFonts w:hint="eastAsia"/>
        </w:rPr>
        <w:t>二、采购</w:t>
      </w:r>
      <w:r>
        <w:t>内容</w:t>
      </w:r>
      <w:bookmarkEnd w:id="5"/>
    </w:p>
    <w:p w:rsidR="00742A17" w:rsidRDefault="005B34EA">
      <w:pPr>
        <w:numPr>
          <w:ilvl w:val="0"/>
          <w:numId w:val="1"/>
        </w:numPr>
        <w:ind w:firstLine="420"/>
        <w:outlineLvl w:val="2"/>
      </w:pPr>
      <w:r>
        <w:rPr>
          <w:rFonts w:hint="eastAsia"/>
        </w:rPr>
        <w:t>《</w:t>
      </w:r>
      <w:r>
        <w:rPr>
          <w:rFonts w:ascii="宋体" w:hAnsi="宋体" w:hint="eastAsia"/>
          <w:szCs w:val="21"/>
        </w:rPr>
        <w:t>制剂药品包装盒</w:t>
      </w:r>
      <w:r>
        <w:rPr>
          <w:rFonts w:hint="eastAsia"/>
        </w:rPr>
        <w:t>需求一览表》</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4568"/>
        <w:gridCol w:w="980"/>
        <w:gridCol w:w="2014"/>
      </w:tblGrid>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b/>
                <w:bCs/>
                <w:color w:val="000000"/>
                <w:szCs w:val="21"/>
              </w:rPr>
            </w:pPr>
            <w:r w:rsidRPr="00ED6DB2">
              <w:rPr>
                <w:rFonts w:ascii="宋体" w:hAnsi="宋体" w:cs="宋体" w:hint="eastAsia"/>
                <w:b/>
                <w:bCs/>
                <w:color w:val="000000"/>
                <w:kern w:val="0"/>
                <w:szCs w:val="21"/>
                <w:lang w:bidi="ar"/>
              </w:rPr>
              <w:t>序号</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b/>
                <w:bCs/>
                <w:color w:val="000000"/>
                <w:szCs w:val="21"/>
              </w:rPr>
            </w:pPr>
            <w:r w:rsidRPr="00ED6DB2">
              <w:rPr>
                <w:rFonts w:ascii="宋体" w:hAnsi="宋体" w:cs="宋体" w:hint="eastAsia"/>
                <w:b/>
                <w:bCs/>
                <w:color w:val="000000"/>
                <w:kern w:val="0"/>
                <w:szCs w:val="21"/>
                <w:lang w:bidi="ar"/>
              </w:rPr>
              <w:t>物资名称</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b/>
                <w:bCs/>
                <w:color w:val="000000"/>
                <w:szCs w:val="21"/>
              </w:rPr>
            </w:pPr>
            <w:r w:rsidRPr="00ED6DB2">
              <w:rPr>
                <w:rFonts w:ascii="宋体" w:hAnsi="宋体" w:cs="宋体" w:hint="eastAsia"/>
                <w:b/>
                <w:bCs/>
                <w:color w:val="000000"/>
                <w:kern w:val="0"/>
                <w:szCs w:val="21"/>
                <w:lang w:bidi="ar"/>
              </w:rPr>
              <w:t>单位</w:t>
            </w:r>
          </w:p>
        </w:tc>
        <w:tc>
          <w:tcPr>
            <w:tcW w:w="118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b/>
                <w:bCs/>
                <w:color w:val="000000"/>
                <w:szCs w:val="21"/>
              </w:rPr>
            </w:pPr>
            <w:r w:rsidRPr="00ED6DB2">
              <w:rPr>
                <w:rFonts w:ascii="宋体" w:hAnsi="宋体" w:cs="宋体" w:hint="eastAsia"/>
                <w:b/>
                <w:bCs/>
                <w:color w:val="000000"/>
                <w:kern w:val="0"/>
                <w:szCs w:val="21"/>
                <w:lang w:bidi="ar"/>
              </w:rPr>
              <w:t>预估一年用量</w:t>
            </w:r>
          </w:p>
        </w:tc>
      </w:tr>
      <w:tr w:rsidR="00742A17" w:rsidRPr="00ED6DB2" w:rsidTr="00E675B7">
        <w:trPr>
          <w:trHeight w:val="6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1</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赖氨酸硫酸锌口服溶液包装盒小盒</w:t>
            </w:r>
            <w:r w:rsidRPr="00ED6DB2">
              <w:rPr>
                <w:rFonts w:ascii="宋体" w:hAnsi="宋体" w:cs="宋体" w:hint="eastAsia"/>
                <w:color w:val="000000"/>
                <w:kern w:val="0"/>
                <w:szCs w:val="21"/>
                <w:lang w:bidi="ar"/>
              </w:rPr>
              <w:br/>
              <w:t>(6支/盒：含塑托、吸管)</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套</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600000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2</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赖氨酸硫酸锌口服溶液卷标</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张</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3600000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3</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赖氨酸硫酸锌口服溶液中包装盒</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只</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120000</w:t>
            </w:r>
          </w:p>
        </w:tc>
      </w:tr>
      <w:tr w:rsidR="00742A17" w:rsidRPr="00ED6DB2" w:rsidTr="00E675B7">
        <w:trPr>
          <w:trHeight w:val="6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4</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复方铁锌口服溶液包装盒 小盒</w:t>
            </w:r>
            <w:r w:rsidRPr="00ED6DB2">
              <w:rPr>
                <w:rFonts w:ascii="宋体" w:hAnsi="宋体" w:cs="宋体" w:hint="eastAsia"/>
                <w:color w:val="000000"/>
                <w:kern w:val="0"/>
                <w:szCs w:val="21"/>
                <w:lang w:bidi="ar"/>
              </w:rPr>
              <w:br/>
              <w:t>(6支/盒：含塑托、吸管)</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套</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130000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5</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复方铁锌口服溶液卷标</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张</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780000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6</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复方铁锌口服溶液中包装盒</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只</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26000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7</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氯化钾口服溶液标签</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张</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8000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8</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水合氯醛糖浆瓶签</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张</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1200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9</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水合氯醛灌肠液瓶签</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张</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800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10</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呋喃西林氧化锌搽剂说明书</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张</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5000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11</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呋喃西林氧化锌搽剂卷标</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张</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30000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12</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呋喃西林氧化锌搽剂盒标</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张</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1000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13</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呋喃西林氧化锌搽剂外盒</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只</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850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14</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制霉素搽剂说明书</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张</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5000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15</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制霉素搽剂卷标</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张</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25000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16</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制霉素搽剂盒标</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张</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600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17</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制霉素搽剂外盒</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只</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600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18</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制剂外包装纸箱（大：80盒）</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只</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9000</w:t>
            </w:r>
          </w:p>
        </w:tc>
      </w:tr>
      <w:tr w:rsidR="00742A17" w:rsidRPr="00ED6DB2" w:rsidTr="00E675B7">
        <w:trPr>
          <w:trHeight w:val="400"/>
          <w:jc w:val="center"/>
        </w:trPr>
        <w:tc>
          <w:tcPr>
            <w:tcW w:w="562"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19</w:t>
            </w:r>
          </w:p>
        </w:tc>
        <w:tc>
          <w:tcPr>
            <w:tcW w:w="2680"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制剂外包装纸箱（小：加隔板）</w:t>
            </w:r>
          </w:p>
        </w:tc>
        <w:tc>
          <w:tcPr>
            <w:tcW w:w="575" w:type="pct"/>
            <w:tcBorders>
              <w:tl2br w:val="nil"/>
              <w:tr2bl w:val="nil"/>
            </w:tcBorders>
            <w:shd w:val="clear" w:color="auto" w:fill="auto"/>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只</w:t>
            </w:r>
          </w:p>
        </w:tc>
        <w:tc>
          <w:tcPr>
            <w:tcW w:w="1182" w:type="pct"/>
            <w:tcBorders>
              <w:tl2br w:val="nil"/>
              <w:tr2bl w:val="nil"/>
            </w:tcBorders>
            <w:shd w:val="clear" w:color="auto" w:fill="auto"/>
            <w:noWrap/>
            <w:vAlign w:val="center"/>
          </w:tcPr>
          <w:p w:rsidR="00742A17" w:rsidRPr="00ED6DB2" w:rsidRDefault="005B34EA" w:rsidP="00E675B7">
            <w:pPr>
              <w:widowControl/>
              <w:ind w:firstLineChars="0" w:firstLine="0"/>
              <w:jc w:val="center"/>
              <w:textAlignment w:val="center"/>
              <w:rPr>
                <w:rFonts w:ascii="宋体" w:hAnsi="宋体" w:cs="宋体"/>
                <w:color w:val="000000"/>
                <w:szCs w:val="21"/>
              </w:rPr>
            </w:pPr>
            <w:r w:rsidRPr="00ED6DB2">
              <w:rPr>
                <w:rFonts w:ascii="宋体" w:hAnsi="宋体" w:cs="宋体" w:hint="eastAsia"/>
                <w:color w:val="000000"/>
                <w:kern w:val="0"/>
                <w:szCs w:val="21"/>
                <w:lang w:bidi="ar"/>
              </w:rPr>
              <w:t>400</w:t>
            </w:r>
          </w:p>
        </w:tc>
      </w:tr>
    </w:tbl>
    <w:p w:rsidR="00742A17" w:rsidRDefault="00742A17">
      <w:pPr>
        <w:pStyle w:val="a0"/>
        <w:ind w:firstLine="210"/>
      </w:pPr>
    </w:p>
    <w:p w:rsidR="00742A17" w:rsidRDefault="005B34EA">
      <w:pPr>
        <w:pStyle w:val="6"/>
        <w:adjustRightInd w:val="0"/>
        <w:snapToGrid w:val="0"/>
        <w:spacing w:line="360" w:lineRule="auto"/>
        <w:ind w:left="0" w:firstLineChars="200" w:firstLine="420"/>
        <w:outlineLvl w:val="2"/>
        <w:rPr>
          <w:rFonts w:ascii="宋体" w:hAnsi="宋体"/>
        </w:rPr>
      </w:pPr>
      <w:r>
        <w:rPr>
          <w:rFonts w:ascii="宋体" w:hAnsi="宋体" w:hint="eastAsia"/>
        </w:rPr>
        <w:t>2、服务需求</w:t>
      </w:r>
    </w:p>
    <w:p w:rsidR="00742A17" w:rsidRDefault="005B34EA">
      <w:pPr>
        <w:numPr>
          <w:ilvl w:val="0"/>
          <w:numId w:val="2"/>
        </w:numPr>
        <w:spacing w:beforeLines="50" w:before="156" w:afterLines="50" w:after="156"/>
        <w:ind w:firstLine="420"/>
        <w:rPr>
          <w:rFonts w:ascii="宋体" w:hAnsi="宋体"/>
          <w:szCs w:val="21"/>
        </w:rPr>
      </w:pPr>
      <w:r>
        <w:rPr>
          <w:rFonts w:ascii="宋体" w:hAnsi="宋体" w:hint="eastAsia"/>
          <w:szCs w:val="21"/>
        </w:rPr>
        <w:t>要求供应商内部具有管理制度，包括生产、保管、发货等规章制度和保障措施。</w:t>
      </w:r>
    </w:p>
    <w:p w:rsidR="00742A17" w:rsidRDefault="005B34EA">
      <w:pPr>
        <w:numPr>
          <w:ilvl w:val="0"/>
          <w:numId w:val="2"/>
        </w:numPr>
        <w:spacing w:beforeLines="50" w:before="156" w:afterLines="50" w:after="156"/>
        <w:ind w:firstLine="420"/>
        <w:rPr>
          <w:rFonts w:ascii="宋体" w:hAnsi="宋体"/>
          <w:szCs w:val="21"/>
        </w:rPr>
      </w:pPr>
      <w:r>
        <w:rPr>
          <w:rFonts w:ascii="宋体" w:hAnsi="宋体" w:hint="eastAsia"/>
          <w:szCs w:val="21"/>
        </w:rPr>
        <w:t>要求供应商对本项目有充足的运输能力，保证货物的安全及时送达的车辆及配送</w:t>
      </w:r>
      <w:r>
        <w:rPr>
          <w:rFonts w:ascii="宋体" w:hAnsi="宋体" w:hint="eastAsia"/>
          <w:szCs w:val="21"/>
        </w:rPr>
        <w:lastRenderedPageBreak/>
        <w:t>人员。供应商应在货物发运前对其进行满足运输距离、防潮、防震、防锈和防破损装卸等要求包装，以保证货物安全运达甲方指定地点。</w:t>
      </w:r>
    </w:p>
    <w:p w:rsidR="00742A17" w:rsidRDefault="005B34EA">
      <w:pPr>
        <w:numPr>
          <w:ilvl w:val="0"/>
          <w:numId w:val="2"/>
        </w:numPr>
        <w:spacing w:beforeLines="50" w:before="156" w:afterLines="50" w:after="156"/>
        <w:ind w:firstLine="420"/>
        <w:rPr>
          <w:rFonts w:ascii="宋体" w:hAnsi="宋体"/>
          <w:szCs w:val="21"/>
        </w:rPr>
      </w:pPr>
      <w:r>
        <w:rPr>
          <w:rFonts w:ascii="宋体" w:hAnsi="宋体" w:hint="eastAsia"/>
          <w:szCs w:val="21"/>
        </w:rPr>
        <w:t>要求供应商对本项目有充足的沟通能力，派专人与采购人相关科室经办人进行印刷需求对接服务，对接人应专业、耐心、稳定（避免频繁更换），且具有一定的同类项目实施经验。除对接印刷需求外，对接人应积极配合采购人其他需求，例如：日常协助采购人对采购的物资进行统计汇总、提供特殊产品规格参数样品图等信息。</w:t>
      </w:r>
    </w:p>
    <w:p w:rsidR="00742A17" w:rsidRDefault="005B34EA">
      <w:pPr>
        <w:numPr>
          <w:ilvl w:val="0"/>
          <w:numId w:val="2"/>
        </w:numPr>
        <w:spacing w:beforeLines="50" w:before="156" w:afterLines="50" w:after="156"/>
        <w:ind w:firstLine="420"/>
      </w:pPr>
      <w:r>
        <w:rPr>
          <w:rFonts w:ascii="宋体" w:hAnsi="宋体" w:hint="eastAsia"/>
          <w:szCs w:val="21"/>
        </w:rPr>
        <w:t>要求供应商对接人在成交后与采购人确认固定时间配送物资到指定地点。</w:t>
      </w:r>
    </w:p>
    <w:p w:rsidR="00742A17" w:rsidRDefault="005B34EA">
      <w:pPr>
        <w:numPr>
          <w:ilvl w:val="0"/>
          <w:numId w:val="2"/>
        </w:numPr>
        <w:spacing w:beforeLines="50" w:before="156" w:afterLines="50" w:after="156"/>
        <w:ind w:firstLine="420"/>
      </w:pPr>
      <w:r>
        <w:rPr>
          <w:rFonts w:ascii="宋体" w:hAnsi="宋体" w:hint="eastAsia"/>
          <w:szCs w:val="21"/>
        </w:rPr>
        <w:t>供应商对常用产品应有一定的储备。</w:t>
      </w:r>
    </w:p>
    <w:p w:rsidR="00742A17" w:rsidRDefault="005B34EA">
      <w:pPr>
        <w:numPr>
          <w:ilvl w:val="0"/>
          <w:numId w:val="2"/>
        </w:numPr>
        <w:spacing w:beforeLines="50" w:before="156" w:afterLines="50" w:after="156"/>
        <w:ind w:firstLine="420"/>
      </w:pPr>
      <w:r>
        <w:rPr>
          <w:rFonts w:ascii="宋体" w:hAnsi="宋体" w:hint="eastAsia"/>
          <w:szCs w:val="21"/>
        </w:rPr>
        <w:t>供应商送货应送达合同约定范围内采购人指定的地点，并根据采购人格式、内容等要求提供送货单。</w:t>
      </w:r>
    </w:p>
    <w:p w:rsidR="00742A17" w:rsidRDefault="005B34EA">
      <w:pPr>
        <w:numPr>
          <w:ilvl w:val="0"/>
          <w:numId w:val="2"/>
        </w:numPr>
        <w:spacing w:beforeLines="50" w:before="156" w:afterLines="50" w:after="156"/>
        <w:ind w:firstLine="420"/>
      </w:pPr>
      <w:r>
        <w:rPr>
          <w:rFonts w:ascii="宋体" w:hAnsi="宋体" w:hint="eastAsia"/>
          <w:szCs w:val="21"/>
        </w:rPr>
        <w:t>在本次招标需求范围内的产品，供货商不得以采购数量少，供货过于分散，价格低等理由拒绝供货。</w:t>
      </w:r>
    </w:p>
    <w:p w:rsidR="00742A17" w:rsidRDefault="005B34EA">
      <w:pPr>
        <w:numPr>
          <w:ilvl w:val="0"/>
          <w:numId w:val="2"/>
        </w:numPr>
        <w:spacing w:beforeLines="50" w:before="156" w:afterLines="50" w:after="156"/>
        <w:ind w:firstLine="420"/>
        <w:rPr>
          <w:rFonts w:ascii="宋体" w:hAnsi="宋体"/>
          <w:szCs w:val="21"/>
        </w:rPr>
      </w:pPr>
      <w:r>
        <w:rPr>
          <w:rFonts w:ascii="宋体" w:hAnsi="宋体" w:hint="eastAsia"/>
          <w:szCs w:val="21"/>
        </w:rPr>
        <w:t>要求供应商成交后按采购人要求提交实样，经采购人确认后方可批量供货。</w:t>
      </w:r>
    </w:p>
    <w:p w:rsidR="00742A17" w:rsidRDefault="005B34EA">
      <w:pPr>
        <w:numPr>
          <w:ilvl w:val="0"/>
          <w:numId w:val="2"/>
        </w:numPr>
        <w:spacing w:beforeLines="50" w:before="156" w:afterLines="50" w:after="156"/>
        <w:ind w:firstLine="420"/>
        <w:rPr>
          <w:rFonts w:ascii="宋体" w:hAnsi="宋体"/>
          <w:szCs w:val="21"/>
        </w:rPr>
      </w:pPr>
      <w:r>
        <w:rPr>
          <w:rFonts w:ascii="宋体" w:hAnsi="宋体" w:hint="eastAsia"/>
          <w:szCs w:val="21"/>
        </w:rPr>
        <w:t>供货商应严格做好质量控制，确保供货合格率100%，并明确承诺三包政策，即“包修、包换、包退”。供应过程中保证售后服务，如提供货品不符合质量要求，或存在破损等情况的，应无条件退货并重新供货，响应时间在24小时内。</w:t>
      </w:r>
    </w:p>
    <w:p w:rsidR="00742A17" w:rsidRDefault="005B34EA">
      <w:pPr>
        <w:numPr>
          <w:ilvl w:val="0"/>
          <w:numId w:val="2"/>
        </w:numPr>
        <w:spacing w:beforeLines="50" w:before="156" w:afterLines="50" w:after="156"/>
        <w:ind w:firstLine="420"/>
        <w:rPr>
          <w:rFonts w:ascii="宋体" w:hAnsi="宋体"/>
          <w:szCs w:val="21"/>
        </w:rPr>
      </w:pPr>
      <w:r>
        <w:rPr>
          <w:rFonts w:ascii="宋体" w:hAnsi="宋体" w:hint="eastAsia"/>
          <w:szCs w:val="21"/>
        </w:rPr>
        <w:t>验收应在供应商及采购人双方共同参加下进行。如有调换产品，减低产品等级标准或提供存在质量缺陷产品，以劣充优，以假充真，串通、贿赂或其他严重违法、违规、违约行为的，一经查实，采购人有权取消其成交资格，终止服务。</w:t>
      </w:r>
    </w:p>
    <w:p w:rsidR="00742A17" w:rsidRDefault="005B34EA">
      <w:pPr>
        <w:numPr>
          <w:ilvl w:val="0"/>
          <w:numId w:val="2"/>
        </w:numPr>
        <w:spacing w:beforeLines="50" w:before="156" w:afterLines="50" w:after="156"/>
        <w:ind w:firstLine="420"/>
        <w:rPr>
          <w:rFonts w:ascii="宋体" w:hAnsi="宋体"/>
          <w:szCs w:val="21"/>
        </w:rPr>
      </w:pPr>
      <w:r>
        <w:rPr>
          <w:rFonts w:ascii="宋体" w:hAnsi="宋体" w:hint="eastAsia"/>
          <w:szCs w:val="21"/>
        </w:rPr>
        <w:t>供应商应入驻省级及以上政府采购云平台电子卖场，如尚未入驻，需承诺在中标后在采购人要求的时间内完成入驻并提供相关的供货服务。在服务期内如采购人提出不在《制剂药品包装盒需求一览表》中产品的供货需求时，采购人可参照一览表内同类物品相似规格进行定价并要求供应商进行供货。</w:t>
      </w:r>
    </w:p>
    <w:p w:rsidR="00742A17" w:rsidRDefault="005B34EA">
      <w:pPr>
        <w:numPr>
          <w:ilvl w:val="0"/>
          <w:numId w:val="2"/>
        </w:numPr>
        <w:spacing w:beforeLines="50" w:before="156" w:afterLines="50" w:after="156"/>
        <w:ind w:firstLine="420"/>
        <w:rPr>
          <w:rFonts w:ascii="宋体" w:hAnsi="宋体"/>
          <w:szCs w:val="21"/>
        </w:rPr>
      </w:pPr>
      <w:r>
        <w:rPr>
          <w:rFonts w:ascii="宋体" w:hAnsi="宋体" w:hint="eastAsia"/>
          <w:szCs w:val="21"/>
        </w:rPr>
        <w:t>供应商在响应文件中提供针对本项目实施过程中仓储管理合理化建议以及在同类项目成功实施案例的描述；成交后该建议方案经采购人采纳并实施的，如所涉及相关费用的均包含在报价中。</w:t>
      </w:r>
    </w:p>
    <w:p w:rsidR="00742A17" w:rsidRDefault="005B34EA">
      <w:pPr>
        <w:pStyle w:val="6"/>
        <w:adjustRightInd w:val="0"/>
        <w:snapToGrid w:val="0"/>
        <w:spacing w:line="360" w:lineRule="auto"/>
        <w:ind w:left="0" w:firstLineChars="200" w:firstLine="420"/>
        <w:outlineLvl w:val="2"/>
        <w:rPr>
          <w:rFonts w:ascii="宋体" w:hAnsi="宋体"/>
        </w:rPr>
      </w:pPr>
      <w:r>
        <w:rPr>
          <w:rFonts w:ascii="宋体" w:hAnsi="宋体" w:hint="eastAsia"/>
        </w:rPr>
        <w:lastRenderedPageBreak/>
        <w:t>3、采购需求</w:t>
      </w:r>
    </w:p>
    <w:p w:rsidR="00742A17" w:rsidRDefault="005B34EA">
      <w:pPr>
        <w:pStyle w:val="6"/>
        <w:adjustRightInd w:val="0"/>
        <w:snapToGrid w:val="0"/>
        <w:spacing w:line="360" w:lineRule="auto"/>
        <w:ind w:left="0" w:firstLineChars="200" w:firstLine="420"/>
      </w:pPr>
      <w:r>
        <w:rPr>
          <w:rFonts w:ascii="宋体" w:hAnsi="宋体" w:hint="eastAsia"/>
        </w:rPr>
        <w:t>供应商须对“制剂药品包装盒需求一览表”的要求一一作出应答，并且在响应文件的技术响应部分逐一写明各种货物的</w:t>
      </w:r>
      <w:r>
        <w:rPr>
          <w:rFonts w:hint="eastAsia"/>
        </w:rPr>
        <w:t>规格型号，详细描述所采用印刷品的材质、规格、产地等，以及与评标有关的其他技术文件资料。</w:t>
      </w:r>
    </w:p>
    <w:p w:rsidR="00742A17" w:rsidRDefault="005B34EA">
      <w:pPr>
        <w:ind w:firstLine="420"/>
      </w:pPr>
      <w:r>
        <w:rPr>
          <w:rFonts w:hint="eastAsia"/>
        </w:rPr>
        <w:t>采购参考数量为暂定的</w:t>
      </w:r>
      <w:r w:rsidR="00757D54">
        <w:rPr>
          <w:rFonts w:hint="eastAsia"/>
        </w:rPr>
        <w:t>一</w:t>
      </w:r>
      <w:r>
        <w:rPr>
          <w:rFonts w:hint="eastAsia"/>
        </w:rPr>
        <w:t>年度总用量，成交后，供应商按采购人要求按月按需分批次供货，要求收到采购人供货通知后</w:t>
      </w:r>
      <w:r>
        <w:rPr>
          <w:rFonts w:hint="eastAsia"/>
        </w:rPr>
        <w:t>7</w:t>
      </w:r>
      <w:r>
        <w:rPr>
          <w:rFonts w:hint="eastAsia"/>
        </w:rPr>
        <w:t>个自然日内（应急物资接到采购人通知后</w:t>
      </w:r>
      <w:r>
        <w:rPr>
          <w:rFonts w:hint="eastAsia"/>
        </w:rPr>
        <w:t>24</w:t>
      </w:r>
      <w:r>
        <w:rPr>
          <w:rFonts w:hint="eastAsia"/>
        </w:rPr>
        <w:t>小时内），货到采购人指定的使用地点。</w:t>
      </w:r>
    </w:p>
    <w:p w:rsidR="00742A17" w:rsidRDefault="005B34EA">
      <w:pPr>
        <w:pStyle w:val="a0"/>
        <w:ind w:firstLineChars="200"/>
        <w:rPr>
          <w:rFonts w:eastAsia="宋体"/>
        </w:rPr>
      </w:pPr>
      <w:r>
        <w:rPr>
          <w:rFonts w:eastAsia="宋体" w:hint="eastAsia"/>
        </w:rPr>
        <w:t>响应文件中应详细描述：</w:t>
      </w:r>
    </w:p>
    <w:p w:rsidR="00742A17" w:rsidRDefault="005B34EA">
      <w:pPr>
        <w:pStyle w:val="a0"/>
        <w:ind w:firstLine="210"/>
        <w:rPr>
          <w:rFonts w:eastAsia="宋体"/>
        </w:rPr>
      </w:pPr>
      <w:r>
        <w:rPr>
          <w:rFonts w:eastAsia="宋体" w:hint="eastAsia"/>
        </w:rPr>
        <w:t>（</w:t>
      </w:r>
      <w:r>
        <w:rPr>
          <w:rFonts w:eastAsia="宋体" w:hint="eastAsia"/>
        </w:rPr>
        <w:t>1</w:t>
      </w:r>
      <w:r>
        <w:rPr>
          <w:rFonts w:eastAsia="宋体" w:hint="eastAsia"/>
        </w:rPr>
        <w:t>）供应商内部管理制度，包括生产、保管、发货等规章制度和保障措施。</w:t>
      </w:r>
    </w:p>
    <w:p w:rsidR="00742A17" w:rsidRDefault="005B34EA">
      <w:pPr>
        <w:pStyle w:val="a0"/>
        <w:ind w:firstLine="210"/>
        <w:rPr>
          <w:rFonts w:eastAsia="宋体"/>
        </w:rPr>
      </w:pPr>
      <w:r>
        <w:rPr>
          <w:rFonts w:eastAsia="宋体" w:hint="eastAsia"/>
        </w:rPr>
        <w:t>（</w:t>
      </w:r>
      <w:r>
        <w:rPr>
          <w:rFonts w:eastAsia="宋体" w:hint="eastAsia"/>
        </w:rPr>
        <w:t>2</w:t>
      </w:r>
      <w:r>
        <w:rPr>
          <w:rFonts w:eastAsia="宋体" w:hint="eastAsia"/>
        </w:rPr>
        <w:t>）拟派项目负责人、制作人员以及采购人对接的现场服务人员等情况。</w:t>
      </w:r>
    </w:p>
    <w:p w:rsidR="00742A17" w:rsidRDefault="005B34EA">
      <w:pPr>
        <w:pStyle w:val="a0"/>
        <w:ind w:firstLine="210"/>
        <w:rPr>
          <w:rFonts w:eastAsia="宋体"/>
        </w:rPr>
      </w:pPr>
      <w:r>
        <w:rPr>
          <w:rFonts w:eastAsia="宋体" w:hint="eastAsia"/>
        </w:rPr>
        <w:t>（</w:t>
      </w:r>
      <w:r>
        <w:rPr>
          <w:rFonts w:eastAsia="宋体" w:hint="eastAsia"/>
        </w:rPr>
        <w:t>3</w:t>
      </w:r>
      <w:r>
        <w:rPr>
          <w:rFonts w:eastAsia="宋体" w:hint="eastAsia"/>
        </w:rPr>
        <w:t>）供应商运输能力（保证货物的安全及时送达的车辆及配送人员情况）</w:t>
      </w:r>
    </w:p>
    <w:p w:rsidR="00742A17" w:rsidRDefault="005B34EA">
      <w:pPr>
        <w:pStyle w:val="a0"/>
        <w:ind w:firstLine="210"/>
        <w:rPr>
          <w:rFonts w:eastAsia="宋体"/>
        </w:rPr>
      </w:pPr>
      <w:r>
        <w:rPr>
          <w:rFonts w:eastAsia="宋体" w:hint="eastAsia"/>
        </w:rPr>
        <w:t>（</w:t>
      </w:r>
      <w:r>
        <w:rPr>
          <w:rFonts w:eastAsia="宋体" w:hint="eastAsia"/>
        </w:rPr>
        <w:t>4</w:t>
      </w:r>
      <w:r>
        <w:rPr>
          <w:rFonts w:eastAsia="宋体" w:hint="eastAsia"/>
        </w:rPr>
        <w:t>）供货服务承诺、保障措施以及保证本项目供货时效性承诺。</w:t>
      </w:r>
    </w:p>
    <w:p w:rsidR="00742A17" w:rsidRDefault="005B34EA">
      <w:pPr>
        <w:pStyle w:val="a0"/>
        <w:ind w:firstLine="210"/>
        <w:rPr>
          <w:rFonts w:eastAsia="宋体"/>
        </w:rPr>
      </w:pPr>
      <w:r>
        <w:rPr>
          <w:rFonts w:eastAsia="宋体" w:hint="eastAsia"/>
        </w:rPr>
        <w:t>（</w:t>
      </w:r>
      <w:r>
        <w:rPr>
          <w:rFonts w:eastAsia="宋体" w:hint="eastAsia"/>
        </w:rPr>
        <w:t>5</w:t>
      </w:r>
      <w:r>
        <w:rPr>
          <w:rFonts w:eastAsia="宋体" w:hint="eastAsia"/>
        </w:rPr>
        <w:t>）应急服务承诺。包括出现缺货、断货、疫情等应急情况的针对性方案及解决措施；</w:t>
      </w:r>
    </w:p>
    <w:p w:rsidR="00742A17" w:rsidRDefault="005B34EA">
      <w:pPr>
        <w:pStyle w:val="a0"/>
        <w:ind w:firstLine="210"/>
        <w:rPr>
          <w:rFonts w:eastAsia="宋体"/>
        </w:rPr>
      </w:pPr>
      <w:r>
        <w:rPr>
          <w:rFonts w:eastAsia="宋体" w:hint="eastAsia"/>
        </w:rPr>
        <w:t>（</w:t>
      </w:r>
      <w:r>
        <w:rPr>
          <w:rFonts w:eastAsia="宋体" w:hint="eastAsia"/>
        </w:rPr>
        <w:t>6</w:t>
      </w:r>
      <w:r>
        <w:rPr>
          <w:rFonts w:eastAsia="宋体" w:hint="eastAsia"/>
        </w:rPr>
        <w:t>）原材料（包括纸张、油墨）使用的品牌或生产厂家，提供采购合同等。</w:t>
      </w:r>
    </w:p>
    <w:p w:rsidR="00742A17" w:rsidRDefault="005B34EA">
      <w:pPr>
        <w:pStyle w:val="a0"/>
        <w:ind w:firstLine="210"/>
        <w:rPr>
          <w:rFonts w:eastAsia="宋体"/>
        </w:rPr>
      </w:pPr>
      <w:r>
        <w:rPr>
          <w:rFonts w:eastAsia="宋体" w:hint="eastAsia"/>
        </w:rPr>
        <w:t>（</w:t>
      </w:r>
      <w:r>
        <w:rPr>
          <w:rFonts w:eastAsia="宋体" w:hint="eastAsia"/>
        </w:rPr>
        <w:t>7</w:t>
      </w:r>
      <w:r>
        <w:rPr>
          <w:rFonts w:eastAsia="宋体" w:hint="eastAsia"/>
        </w:rPr>
        <w:t>）原材料检测报告。</w:t>
      </w:r>
      <w:bookmarkStart w:id="6" w:name="_GoBack"/>
      <w:bookmarkEnd w:id="6"/>
    </w:p>
    <w:p w:rsidR="00742A17" w:rsidRDefault="005B34EA">
      <w:pPr>
        <w:pStyle w:val="a0"/>
        <w:ind w:firstLine="210"/>
        <w:rPr>
          <w:rFonts w:eastAsia="宋体"/>
        </w:rPr>
      </w:pPr>
      <w:r>
        <w:rPr>
          <w:rFonts w:eastAsia="宋体" w:hint="eastAsia"/>
        </w:rPr>
        <w:t>（</w:t>
      </w:r>
      <w:r>
        <w:rPr>
          <w:rFonts w:eastAsia="宋体" w:hint="eastAsia"/>
        </w:rPr>
        <w:t>8</w:t>
      </w:r>
      <w:r>
        <w:rPr>
          <w:rFonts w:eastAsia="宋体" w:hint="eastAsia"/>
        </w:rPr>
        <w:t>）固定售后服务机构及其人员配置情况。产品三包服务承诺。</w:t>
      </w:r>
    </w:p>
    <w:p w:rsidR="00742A17" w:rsidRDefault="00742A17">
      <w:pPr>
        <w:pStyle w:val="a0"/>
        <w:ind w:firstLine="210"/>
        <w:rPr>
          <w:rFonts w:ascii="宋体" w:eastAsia="宋体" w:hAnsi="宋体"/>
          <w:szCs w:val="21"/>
        </w:rPr>
      </w:pPr>
    </w:p>
    <w:p w:rsidR="00742A17" w:rsidRDefault="00742A17">
      <w:pPr>
        <w:ind w:firstLine="420"/>
      </w:pPr>
    </w:p>
    <w:sectPr w:rsidR="00742A1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1F" w:rsidRDefault="00AE191F">
      <w:pPr>
        <w:spacing w:line="240" w:lineRule="auto"/>
        <w:ind w:firstLine="420"/>
      </w:pPr>
      <w:r>
        <w:separator/>
      </w:r>
    </w:p>
  </w:endnote>
  <w:endnote w:type="continuationSeparator" w:id="0">
    <w:p w:rsidR="00AE191F" w:rsidRDefault="00AE191F">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2E" w:rsidRDefault="00987A2E">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2E" w:rsidRDefault="00987A2E">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2E" w:rsidRDefault="00987A2E">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1F" w:rsidRDefault="00AE191F">
      <w:pPr>
        <w:ind w:firstLine="420"/>
      </w:pPr>
      <w:r>
        <w:separator/>
      </w:r>
    </w:p>
  </w:footnote>
  <w:footnote w:type="continuationSeparator" w:id="0">
    <w:p w:rsidR="00AE191F" w:rsidRDefault="00AE191F">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2E" w:rsidRDefault="00987A2E">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2E" w:rsidRDefault="00987A2E">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2E" w:rsidRDefault="00987A2E">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B57D4A"/>
    <w:multiLevelType w:val="singleLevel"/>
    <w:tmpl w:val="94B57D4A"/>
    <w:lvl w:ilvl="0">
      <w:start w:val="1"/>
      <w:numFmt w:val="decimal"/>
      <w:suff w:val="nothing"/>
      <w:lvlText w:val="%1、"/>
      <w:lvlJc w:val="left"/>
    </w:lvl>
  </w:abstractNum>
  <w:abstractNum w:abstractNumId="1">
    <w:nsid w:val="A97F1B4D"/>
    <w:multiLevelType w:val="singleLevel"/>
    <w:tmpl w:val="A97F1B4D"/>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MDRlM2E3MGUxMDcxNTMzMzQ1MmE5OTRjM2ZiZDQifQ=="/>
  </w:docVars>
  <w:rsids>
    <w:rsidRoot w:val="67D354B5"/>
    <w:rsid w:val="005B34EA"/>
    <w:rsid w:val="00742A17"/>
    <w:rsid w:val="00757D54"/>
    <w:rsid w:val="00873BEA"/>
    <w:rsid w:val="008E3C37"/>
    <w:rsid w:val="00987A2E"/>
    <w:rsid w:val="00AE191F"/>
    <w:rsid w:val="00D60E97"/>
    <w:rsid w:val="00E675B7"/>
    <w:rsid w:val="00ED6DB2"/>
    <w:rsid w:val="00FD3D7C"/>
    <w:rsid w:val="03C339D1"/>
    <w:rsid w:val="1614580C"/>
    <w:rsid w:val="457A15D0"/>
    <w:rsid w:val="46810191"/>
    <w:rsid w:val="67D35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60" w:lineRule="auto"/>
      <w:ind w:firstLineChars="200" w:firstLine="200"/>
      <w:jc w:val="both"/>
    </w:pPr>
    <w:rPr>
      <w:kern w:val="2"/>
      <w:sz w:val="21"/>
      <w:szCs w:val="24"/>
    </w:rPr>
  </w:style>
  <w:style w:type="paragraph" w:styleId="1">
    <w:name w:val="heading 1"/>
    <w:basedOn w:val="a"/>
    <w:next w:val="a"/>
    <w:qFormat/>
    <w:pPr>
      <w:keepNext/>
      <w:keepLines/>
      <w:jc w:val="center"/>
      <w:outlineLvl w:val="0"/>
    </w:pPr>
    <w:rPr>
      <w:b/>
      <w:bCs/>
      <w:kern w:val="44"/>
      <w:sz w:val="24"/>
      <w:szCs w:val="44"/>
    </w:rPr>
  </w:style>
  <w:style w:type="paragraph" w:styleId="2">
    <w:name w:val="heading 2"/>
    <w:basedOn w:val="a"/>
    <w:next w:val="a"/>
    <w:qFormat/>
    <w:pPr>
      <w:keepNext/>
      <w:keepLines/>
      <w:ind w:firstLineChars="0" w:firstLine="0"/>
      <w:outlineLvl w:val="1"/>
    </w:pPr>
    <w:rPr>
      <w:rFonts w:ascii="Cambria" w:hAnsi="Cambria"/>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qFormat/>
    <w:pPr>
      <w:adjustRightInd/>
      <w:spacing w:after="120" w:line="240" w:lineRule="auto"/>
      <w:ind w:firstLineChars="100" w:firstLine="420"/>
      <w:jc w:val="both"/>
    </w:pPr>
    <w:rPr>
      <w:rFonts w:ascii="Times New Roman"/>
      <w:kern w:val="2"/>
      <w:sz w:val="21"/>
      <w:szCs w:val="24"/>
    </w:rPr>
  </w:style>
  <w:style w:type="paragraph" w:styleId="a4">
    <w:name w:val="Body Text"/>
    <w:basedOn w:val="a"/>
    <w:next w:val="a0"/>
    <w:qFormat/>
    <w:pPr>
      <w:adjustRightInd w:val="0"/>
      <w:spacing w:line="315" w:lineRule="atLeast"/>
      <w:ind w:firstLineChars="0" w:firstLine="0"/>
      <w:jc w:val="left"/>
    </w:pPr>
    <w:rPr>
      <w:rFonts w:ascii="仿宋_GB2312" w:eastAsia="仿宋_GB2312"/>
      <w:kern w:val="0"/>
      <w:sz w:val="28"/>
      <w:szCs w:val="20"/>
    </w:rPr>
  </w:style>
  <w:style w:type="paragraph" w:styleId="6">
    <w:name w:val="toc 6"/>
    <w:basedOn w:val="a"/>
    <w:next w:val="a"/>
    <w:qFormat/>
    <w:pPr>
      <w:spacing w:line="240" w:lineRule="auto"/>
      <w:ind w:left="1050" w:firstLineChars="0" w:firstLine="0"/>
      <w:jc w:val="left"/>
    </w:pPr>
    <w:rPr>
      <w:szCs w:val="21"/>
    </w:rPr>
  </w:style>
  <w:style w:type="paragraph" w:styleId="a5">
    <w:name w:val="header"/>
    <w:basedOn w:val="a"/>
    <w:link w:val="Char"/>
    <w:rsid w:val="00987A2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5"/>
    <w:rsid w:val="00987A2E"/>
    <w:rPr>
      <w:kern w:val="2"/>
      <w:sz w:val="18"/>
      <w:szCs w:val="18"/>
    </w:rPr>
  </w:style>
  <w:style w:type="paragraph" w:styleId="a6">
    <w:name w:val="footer"/>
    <w:basedOn w:val="a"/>
    <w:link w:val="Char0"/>
    <w:rsid w:val="00987A2E"/>
    <w:pPr>
      <w:tabs>
        <w:tab w:val="center" w:pos="4153"/>
        <w:tab w:val="right" w:pos="8306"/>
      </w:tabs>
      <w:snapToGrid w:val="0"/>
      <w:spacing w:line="240" w:lineRule="auto"/>
      <w:jc w:val="left"/>
    </w:pPr>
    <w:rPr>
      <w:sz w:val="18"/>
      <w:szCs w:val="18"/>
    </w:rPr>
  </w:style>
  <w:style w:type="character" w:customStyle="1" w:styleId="Char0">
    <w:name w:val="页脚 Char"/>
    <w:basedOn w:val="a1"/>
    <w:link w:val="a6"/>
    <w:rsid w:val="00987A2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60" w:lineRule="auto"/>
      <w:ind w:firstLineChars="200" w:firstLine="200"/>
      <w:jc w:val="both"/>
    </w:pPr>
    <w:rPr>
      <w:kern w:val="2"/>
      <w:sz w:val="21"/>
      <w:szCs w:val="24"/>
    </w:rPr>
  </w:style>
  <w:style w:type="paragraph" w:styleId="1">
    <w:name w:val="heading 1"/>
    <w:basedOn w:val="a"/>
    <w:next w:val="a"/>
    <w:qFormat/>
    <w:pPr>
      <w:keepNext/>
      <w:keepLines/>
      <w:jc w:val="center"/>
      <w:outlineLvl w:val="0"/>
    </w:pPr>
    <w:rPr>
      <w:b/>
      <w:bCs/>
      <w:kern w:val="44"/>
      <w:sz w:val="24"/>
      <w:szCs w:val="44"/>
    </w:rPr>
  </w:style>
  <w:style w:type="paragraph" w:styleId="2">
    <w:name w:val="heading 2"/>
    <w:basedOn w:val="a"/>
    <w:next w:val="a"/>
    <w:qFormat/>
    <w:pPr>
      <w:keepNext/>
      <w:keepLines/>
      <w:ind w:firstLineChars="0" w:firstLine="0"/>
      <w:outlineLvl w:val="1"/>
    </w:pPr>
    <w:rPr>
      <w:rFonts w:ascii="Cambria" w:hAnsi="Cambria"/>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qFormat/>
    <w:pPr>
      <w:adjustRightInd/>
      <w:spacing w:after="120" w:line="240" w:lineRule="auto"/>
      <w:ind w:firstLineChars="100" w:firstLine="420"/>
      <w:jc w:val="both"/>
    </w:pPr>
    <w:rPr>
      <w:rFonts w:ascii="Times New Roman"/>
      <w:kern w:val="2"/>
      <w:sz w:val="21"/>
      <w:szCs w:val="24"/>
    </w:rPr>
  </w:style>
  <w:style w:type="paragraph" w:styleId="a4">
    <w:name w:val="Body Text"/>
    <w:basedOn w:val="a"/>
    <w:next w:val="a0"/>
    <w:qFormat/>
    <w:pPr>
      <w:adjustRightInd w:val="0"/>
      <w:spacing w:line="315" w:lineRule="atLeast"/>
      <w:ind w:firstLineChars="0" w:firstLine="0"/>
      <w:jc w:val="left"/>
    </w:pPr>
    <w:rPr>
      <w:rFonts w:ascii="仿宋_GB2312" w:eastAsia="仿宋_GB2312"/>
      <w:kern w:val="0"/>
      <w:sz w:val="28"/>
      <w:szCs w:val="20"/>
    </w:rPr>
  </w:style>
  <w:style w:type="paragraph" w:styleId="6">
    <w:name w:val="toc 6"/>
    <w:basedOn w:val="a"/>
    <w:next w:val="a"/>
    <w:qFormat/>
    <w:pPr>
      <w:spacing w:line="240" w:lineRule="auto"/>
      <w:ind w:left="1050" w:firstLineChars="0" w:firstLine="0"/>
      <w:jc w:val="left"/>
    </w:pPr>
    <w:rPr>
      <w:szCs w:val="21"/>
    </w:rPr>
  </w:style>
  <w:style w:type="paragraph" w:styleId="a5">
    <w:name w:val="header"/>
    <w:basedOn w:val="a"/>
    <w:link w:val="Char"/>
    <w:rsid w:val="00987A2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5"/>
    <w:rsid w:val="00987A2E"/>
    <w:rPr>
      <w:kern w:val="2"/>
      <w:sz w:val="18"/>
      <w:szCs w:val="18"/>
    </w:rPr>
  </w:style>
  <w:style w:type="paragraph" w:styleId="a6">
    <w:name w:val="footer"/>
    <w:basedOn w:val="a"/>
    <w:link w:val="Char0"/>
    <w:rsid w:val="00987A2E"/>
    <w:pPr>
      <w:tabs>
        <w:tab w:val="center" w:pos="4153"/>
        <w:tab w:val="right" w:pos="8306"/>
      </w:tabs>
      <w:snapToGrid w:val="0"/>
      <w:spacing w:line="240" w:lineRule="auto"/>
      <w:jc w:val="left"/>
    </w:pPr>
    <w:rPr>
      <w:sz w:val="18"/>
      <w:szCs w:val="18"/>
    </w:rPr>
  </w:style>
  <w:style w:type="character" w:customStyle="1" w:styleId="Char0">
    <w:name w:val="页脚 Char"/>
    <w:basedOn w:val="a1"/>
    <w:link w:val="a6"/>
    <w:rsid w:val="00987A2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wl</cp:lastModifiedBy>
  <cp:revision>6</cp:revision>
  <dcterms:created xsi:type="dcterms:W3CDTF">2023-02-21T09:17:00Z</dcterms:created>
  <dcterms:modified xsi:type="dcterms:W3CDTF">2023-02-21T09:52:00Z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A15C4A851D6B4D92ADBDC40E8800AC7D</vt:lpwstr>
  </property>
</Properties>
</file>