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D32" w:rsidRDefault="001E09A9">
      <w:pPr>
        <w:jc w:val="center"/>
        <w:rPr>
          <w:b/>
          <w:bCs/>
          <w:sz w:val="28"/>
          <w:szCs w:val="28"/>
        </w:rPr>
      </w:pPr>
      <w:r w:rsidRPr="001E09A9">
        <w:rPr>
          <w:rFonts w:hint="eastAsia"/>
          <w:b/>
          <w:bCs/>
          <w:sz w:val="28"/>
          <w:szCs w:val="28"/>
        </w:rPr>
        <w:t>临床试验管理平台升级</w:t>
      </w:r>
      <w:r>
        <w:rPr>
          <w:rFonts w:hint="eastAsia"/>
          <w:b/>
          <w:bCs/>
          <w:sz w:val="28"/>
          <w:szCs w:val="28"/>
        </w:rPr>
        <w:t>项目</w:t>
      </w:r>
    </w:p>
    <w:p w:rsidR="00980D32" w:rsidRDefault="00980D32">
      <w:pPr>
        <w:jc w:val="center"/>
        <w:rPr>
          <w:b/>
          <w:bCs/>
          <w:sz w:val="28"/>
          <w:szCs w:val="28"/>
        </w:rPr>
      </w:pPr>
    </w:p>
    <w:p w:rsidR="00980D32" w:rsidRDefault="000676CC">
      <w:pPr>
        <w:spacing w:line="360" w:lineRule="auto"/>
        <w:rPr>
          <w:b/>
          <w:bCs/>
          <w:sz w:val="24"/>
        </w:rPr>
      </w:pPr>
      <w:r>
        <w:rPr>
          <w:rFonts w:hint="eastAsia"/>
          <w:b/>
          <w:bCs/>
          <w:sz w:val="24"/>
        </w:rPr>
        <w:t>一、技术参数</w:t>
      </w:r>
    </w:p>
    <w:p w:rsidR="00980D32" w:rsidRDefault="000676CC">
      <w:pPr>
        <w:spacing w:line="360" w:lineRule="auto"/>
        <w:rPr>
          <w:b/>
          <w:bCs/>
          <w:sz w:val="24"/>
        </w:rPr>
      </w:pPr>
      <w:r>
        <w:rPr>
          <w:rFonts w:hint="eastAsia"/>
          <w:b/>
          <w:bCs/>
          <w:sz w:val="24"/>
        </w:rPr>
        <w:t>采购内容：</w:t>
      </w:r>
    </w:p>
    <w:p w:rsidR="00980D32" w:rsidRDefault="000676CC">
      <w:pPr>
        <w:spacing w:line="360" w:lineRule="auto"/>
        <w:rPr>
          <w:sz w:val="24"/>
        </w:rPr>
      </w:pPr>
      <w:r>
        <w:rPr>
          <w:rFonts w:hint="eastAsia"/>
          <w:sz w:val="24"/>
        </w:rPr>
        <w:t xml:space="preserve">    </w:t>
      </w:r>
      <w:r>
        <w:rPr>
          <w:rFonts w:hint="eastAsia"/>
          <w:sz w:val="24"/>
        </w:rPr>
        <w:t>浙江大学医学院附属儿童医院临床试验管理平台升级，浙江大学医学院附属儿童医院临床试验机构和伦理委员会将应用本系统于药物、医疗器械临床试验及研究者发起研究的伦理审查和项目管理信息化工作。</w:t>
      </w:r>
    </w:p>
    <w:p w:rsidR="00980D32" w:rsidRDefault="000676CC">
      <w:pPr>
        <w:spacing w:line="360" w:lineRule="auto"/>
        <w:rPr>
          <w:b/>
          <w:bCs/>
          <w:sz w:val="24"/>
        </w:rPr>
      </w:pPr>
      <w:r>
        <w:rPr>
          <w:rFonts w:hint="eastAsia"/>
          <w:b/>
          <w:bCs/>
          <w:sz w:val="24"/>
        </w:rPr>
        <w:t>采购目的：</w:t>
      </w:r>
    </w:p>
    <w:p w:rsidR="00980D32" w:rsidRDefault="000676CC">
      <w:pPr>
        <w:spacing w:line="360" w:lineRule="auto"/>
        <w:ind w:firstLineChars="200" w:firstLine="480"/>
        <w:rPr>
          <w:sz w:val="24"/>
        </w:rPr>
      </w:pPr>
      <w:r>
        <w:rPr>
          <w:rFonts w:hint="eastAsia"/>
          <w:sz w:val="24"/>
        </w:rPr>
        <w:t>本次软件升级是为提升浙江大学医学院附属儿童医院临床试验管理的工作效率。升级功能</w:t>
      </w:r>
      <w:r>
        <w:rPr>
          <w:sz w:val="24"/>
        </w:rPr>
        <w:t>版本</w:t>
      </w:r>
      <w:r>
        <w:rPr>
          <w:rFonts w:hint="eastAsia"/>
          <w:sz w:val="24"/>
        </w:rPr>
        <w:t>是</w:t>
      </w:r>
      <w:r>
        <w:rPr>
          <w:sz w:val="24"/>
        </w:rPr>
        <w:t>在</w:t>
      </w:r>
      <w:r>
        <w:rPr>
          <w:rFonts w:hint="eastAsia"/>
          <w:sz w:val="24"/>
        </w:rPr>
        <w:t>当前</w:t>
      </w:r>
      <w:r>
        <w:rPr>
          <w:sz w:val="24"/>
        </w:rPr>
        <w:t>版本</w:t>
      </w:r>
      <w:r>
        <w:rPr>
          <w:rFonts w:hint="eastAsia"/>
          <w:sz w:val="24"/>
        </w:rPr>
        <w:t>（</w:t>
      </w:r>
      <w:r>
        <w:rPr>
          <w:rFonts w:hint="eastAsia"/>
          <w:sz w:val="24"/>
        </w:rPr>
        <w:t>3</w:t>
      </w:r>
      <w:r>
        <w:rPr>
          <w:sz w:val="24"/>
        </w:rPr>
        <w:t>.0</w:t>
      </w:r>
      <w:r>
        <w:rPr>
          <w:rFonts w:hint="eastAsia"/>
          <w:sz w:val="24"/>
        </w:rPr>
        <w:t>）</w:t>
      </w:r>
      <w:r>
        <w:rPr>
          <w:sz w:val="24"/>
        </w:rPr>
        <w:t>的功能</w:t>
      </w:r>
      <w:r>
        <w:rPr>
          <w:rFonts w:hint="eastAsia"/>
          <w:sz w:val="24"/>
        </w:rPr>
        <w:t>基础</w:t>
      </w:r>
      <w:r>
        <w:rPr>
          <w:sz w:val="24"/>
        </w:rPr>
        <w:t>上</w:t>
      </w:r>
      <w:r>
        <w:rPr>
          <w:rFonts w:hint="eastAsia"/>
          <w:sz w:val="24"/>
        </w:rPr>
        <w:t>进行升级优化</w:t>
      </w:r>
      <w:r>
        <w:rPr>
          <w:sz w:val="24"/>
        </w:rPr>
        <w:t>，系统功能</w:t>
      </w:r>
      <w:r>
        <w:rPr>
          <w:rFonts w:hint="eastAsia"/>
          <w:sz w:val="24"/>
        </w:rPr>
        <w:t>将</w:t>
      </w:r>
      <w:r>
        <w:rPr>
          <w:sz w:val="24"/>
        </w:rPr>
        <w:t>进一步完善</w:t>
      </w:r>
      <w:r>
        <w:rPr>
          <w:rFonts w:hint="eastAsia"/>
          <w:sz w:val="24"/>
        </w:rPr>
        <w:t>强大，使医院临床试验管理日常工作运作上更加切实、高效，同时</w:t>
      </w:r>
      <w:r>
        <w:rPr>
          <w:sz w:val="24"/>
        </w:rPr>
        <w:t>软件结构</w:t>
      </w:r>
      <w:r>
        <w:rPr>
          <w:rFonts w:hint="eastAsia"/>
          <w:sz w:val="24"/>
        </w:rPr>
        <w:t>将进一步</w:t>
      </w:r>
      <w:r>
        <w:rPr>
          <w:sz w:val="24"/>
        </w:rPr>
        <w:t>优化</w:t>
      </w:r>
      <w:r>
        <w:rPr>
          <w:rFonts w:hint="eastAsia"/>
          <w:sz w:val="24"/>
        </w:rPr>
        <w:t>，从而</w:t>
      </w:r>
      <w:r>
        <w:rPr>
          <w:sz w:val="24"/>
        </w:rPr>
        <w:t>提高系统运作效率，</w:t>
      </w:r>
      <w:r>
        <w:rPr>
          <w:rFonts w:hint="eastAsia"/>
          <w:sz w:val="24"/>
        </w:rPr>
        <w:t>使系统运行</w:t>
      </w:r>
      <w:r>
        <w:rPr>
          <w:sz w:val="24"/>
        </w:rPr>
        <w:t>更稳定流畅</w:t>
      </w:r>
      <w:r>
        <w:rPr>
          <w:rFonts w:hint="eastAsia"/>
          <w:sz w:val="24"/>
        </w:rPr>
        <w:t>。</w:t>
      </w:r>
    </w:p>
    <w:p w:rsidR="00980D32" w:rsidRDefault="000676CC">
      <w:pPr>
        <w:spacing w:line="360" w:lineRule="auto"/>
        <w:rPr>
          <w:b/>
          <w:bCs/>
          <w:sz w:val="24"/>
        </w:rPr>
      </w:pPr>
      <w:r>
        <w:rPr>
          <w:rFonts w:hint="eastAsia"/>
          <w:b/>
          <w:bCs/>
          <w:sz w:val="24"/>
        </w:rPr>
        <w:t>功能要求</w:t>
      </w:r>
      <w:r>
        <w:rPr>
          <w:rFonts w:hint="eastAsia"/>
          <w:b/>
          <w:bCs/>
          <w:sz w:val="24"/>
        </w:rPr>
        <w:t>/</w:t>
      </w:r>
      <w:r>
        <w:rPr>
          <w:rFonts w:hint="eastAsia"/>
          <w:b/>
          <w:bCs/>
          <w:sz w:val="24"/>
        </w:rPr>
        <w:t>产品选型要求：</w:t>
      </w:r>
    </w:p>
    <w:tbl>
      <w:tblPr>
        <w:tblStyle w:val="a3"/>
        <w:tblW w:w="4774" w:type="pct"/>
        <w:jc w:val="center"/>
        <w:tblLook w:val="04A0" w:firstRow="1" w:lastRow="0" w:firstColumn="1" w:lastColumn="0" w:noHBand="0" w:noVBand="1"/>
      </w:tblPr>
      <w:tblGrid>
        <w:gridCol w:w="727"/>
        <w:gridCol w:w="1400"/>
        <w:gridCol w:w="6010"/>
      </w:tblGrid>
      <w:tr w:rsidR="00980D32">
        <w:trPr>
          <w:trHeight w:val="477"/>
          <w:jc w:val="center"/>
        </w:trPr>
        <w:tc>
          <w:tcPr>
            <w:tcW w:w="447" w:type="pct"/>
            <w:shd w:val="clear" w:color="auto" w:fill="BFBFBF" w:themeFill="background1" w:themeFillShade="BF"/>
          </w:tcPr>
          <w:p w:rsidR="00980D32" w:rsidRDefault="000676CC">
            <w:pPr>
              <w:jc w:val="center"/>
              <w:rPr>
                <w:rFonts w:ascii="等线" w:eastAsia="等线" w:hAnsi="等线" w:cs="等线"/>
                <w:b/>
                <w:bCs/>
                <w:szCs w:val="21"/>
              </w:rPr>
            </w:pPr>
            <w:r>
              <w:rPr>
                <w:rFonts w:ascii="等线" w:eastAsia="等线" w:hAnsi="等线" w:cs="等线" w:hint="eastAsia"/>
                <w:b/>
                <w:bCs/>
                <w:szCs w:val="21"/>
              </w:rPr>
              <w:t>序号</w:t>
            </w:r>
          </w:p>
        </w:tc>
        <w:tc>
          <w:tcPr>
            <w:tcW w:w="860" w:type="pct"/>
            <w:shd w:val="clear" w:color="auto" w:fill="BFBFBF" w:themeFill="background1" w:themeFillShade="BF"/>
          </w:tcPr>
          <w:p w:rsidR="00980D32" w:rsidRDefault="000676CC">
            <w:pPr>
              <w:jc w:val="center"/>
              <w:rPr>
                <w:rFonts w:ascii="等线" w:eastAsia="等线" w:hAnsi="等线" w:cs="等线"/>
                <w:b/>
                <w:bCs/>
                <w:szCs w:val="21"/>
              </w:rPr>
            </w:pPr>
            <w:r>
              <w:rPr>
                <w:rFonts w:ascii="等线" w:eastAsia="等线" w:hAnsi="等线" w:cs="等线" w:hint="eastAsia"/>
                <w:b/>
                <w:bCs/>
                <w:szCs w:val="21"/>
              </w:rPr>
              <w:t>模块</w:t>
            </w:r>
          </w:p>
        </w:tc>
        <w:tc>
          <w:tcPr>
            <w:tcW w:w="3692" w:type="pct"/>
            <w:shd w:val="clear" w:color="auto" w:fill="BFBFBF" w:themeFill="background1" w:themeFillShade="BF"/>
          </w:tcPr>
          <w:p w:rsidR="00980D32" w:rsidRDefault="000676CC">
            <w:pPr>
              <w:jc w:val="center"/>
              <w:rPr>
                <w:rFonts w:ascii="等线" w:eastAsia="等线" w:hAnsi="等线" w:cs="等线"/>
                <w:b/>
                <w:bCs/>
                <w:szCs w:val="21"/>
              </w:rPr>
            </w:pPr>
            <w:r>
              <w:rPr>
                <w:rFonts w:ascii="等线" w:eastAsia="等线" w:hAnsi="等线" w:cs="等线" w:hint="eastAsia"/>
                <w:b/>
                <w:bCs/>
                <w:szCs w:val="21"/>
              </w:rPr>
              <w:t>技术参数要求</w:t>
            </w:r>
          </w:p>
        </w:tc>
      </w:tr>
      <w:tr w:rsidR="00980D32">
        <w:trPr>
          <w:trHeight w:val="104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1</w:t>
            </w:r>
          </w:p>
        </w:tc>
        <w:tc>
          <w:tcPr>
            <w:tcW w:w="860" w:type="pct"/>
            <w:vAlign w:val="center"/>
          </w:tcPr>
          <w:p w:rsidR="00980D32" w:rsidRDefault="000676CC">
            <w:pPr>
              <w:spacing w:line="276" w:lineRule="auto"/>
              <w:jc w:val="center"/>
              <w:rPr>
                <w:rFonts w:asciiTheme="minorEastAsia" w:hAnsiTheme="minorEastAsia" w:cs="等线"/>
                <w:color w:val="000000"/>
                <w:sz w:val="18"/>
                <w:szCs w:val="18"/>
                <w:lang w:eastAsia="zh-Hans"/>
              </w:rPr>
            </w:pPr>
            <w:r>
              <w:rPr>
                <w:rFonts w:asciiTheme="minorEastAsia" w:hAnsiTheme="minorEastAsia" w:cs="等线" w:hint="eastAsia"/>
                <w:color w:val="000000"/>
                <w:sz w:val="18"/>
                <w:szCs w:val="18"/>
                <w:lang w:eastAsia="zh-Hans"/>
              </w:rPr>
              <w:t>系统升级部署</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lang w:eastAsia="zh-Hans"/>
              </w:rPr>
              <w:t>支持系统本地化部署</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lang w:eastAsia="zh-Hans"/>
              </w:rPr>
              <w:t>支持系统版本</w:t>
            </w:r>
            <w:r>
              <w:rPr>
                <w:rFonts w:asciiTheme="minorEastAsia" w:hAnsiTheme="minorEastAsia" w:cs="等线"/>
                <w:sz w:val="18"/>
                <w:szCs w:val="18"/>
                <w:lang w:eastAsia="zh-Hans"/>
              </w:rPr>
              <w:t>3</w:t>
            </w:r>
            <w:r>
              <w:rPr>
                <w:rFonts w:asciiTheme="minorEastAsia" w:hAnsiTheme="minorEastAsia" w:cs="等线" w:hint="eastAsia"/>
                <w:sz w:val="18"/>
                <w:szCs w:val="18"/>
                <w:lang w:eastAsia="zh-Hans"/>
              </w:rPr>
              <w:t>.</w:t>
            </w:r>
            <w:r>
              <w:rPr>
                <w:rFonts w:asciiTheme="minorEastAsia" w:hAnsiTheme="minorEastAsia" w:cs="等线"/>
                <w:sz w:val="18"/>
                <w:szCs w:val="18"/>
                <w:lang w:eastAsia="zh-Hans"/>
              </w:rPr>
              <w:t>0</w:t>
            </w:r>
            <w:r>
              <w:rPr>
                <w:rFonts w:asciiTheme="minorEastAsia" w:hAnsiTheme="minorEastAsia" w:cs="等线" w:hint="eastAsia"/>
                <w:sz w:val="18"/>
                <w:szCs w:val="18"/>
                <w:lang w:eastAsia="zh-Hans"/>
              </w:rPr>
              <w:t>升级到</w:t>
            </w:r>
            <w:r>
              <w:rPr>
                <w:rFonts w:asciiTheme="minorEastAsia" w:hAnsiTheme="minorEastAsia" w:cs="等线"/>
                <w:sz w:val="18"/>
                <w:szCs w:val="18"/>
                <w:lang w:eastAsia="zh-Hans"/>
              </w:rPr>
              <w:t>4</w:t>
            </w:r>
            <w:r>
              <w:rPr>
                <w:rFonts w:asciiTheme="minorEastAsia" w:hAnsiTheme="minorEastAsia" w:cs="等线" w:hint="eastAsia"/>
                <w:sz w:val="18"/>
                <w:szCs w:val="18"/>
                <w:lang w:eastAsia="zh-Hans"/>
              </w:rPr>
              <w:t>.</w:t>
            </w:r>
            <w:r>
              <w:rPr>
                <w:rFonts w:asciiTheme="minorEastAsia" w:hAnsiTheme="minorEastAsia" w:cs="等线"/>
                <w:sz w:val="18"/>
                <w:szCs w:val="18"/>
                <w:lang w:eastAsia="zh-Hans"/>
              </w:rPr>
              <w:t>0</w:t>
            </w:r>
          </w:p>
        </w:tc>
      </w:tr>
      <w:tr w:rsidR="00980D32">
        <w:trPr>
          <w:trHeight w:val="1436"/>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2</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表单流程自定义功能</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支持项目表单在线编辑且可对输入项自动映射抓取；</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支持项目文件根据SOP自定义且权限控制到角色、人员；</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支持项目审查审批流程节点自定义；</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支持在线查看流程树。</w:t>
            </w:r>
          </w:p>
        </w:tc>
      </w:tr>
      <w:tr w:rsidR="00980D32">
        <w:trPr>
          <w:trHeight w:val="1772"/>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3</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权限管理功能</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kern w:val="0"/>
                <w:sz w:val="18"/>
                <w:szCs w:val="18"/>
              </w:rPr>
            </w:pPr>
            <w:r>
              <w:rPr>
                <w:rStyle w:val="a4"/>
                <w:rFonts w:asciiTheme="minorEastAsia" w:hAnsiTheme="minorEastAsia" w:cs="等线" w:hint="eastAsia"/>
                <w:sz w:val="18"/>
                <w:szCs w:val="18"/>
              </w:rPr>
              <w:t>支持项目各个操作权限控制到人员；</w:t>
            </w:r>
          </w:p>
          <w:p w:rsidR="00980D32" w:rsidRDefault="000676CC">
            <w:pPr>
              <w:pStyle w:val="a5"/>
              <w:numPr>
                <w:ilvl w:val="0"/>
                <w:numId w:val="1"/>
              </w:numPr>
              <w:spacing w:line="276" w:lineRule="auto"/>
              <w:ind w:firstLineChars="0"/>
              <w:rPr>
                <w:rFonts w:asciiTheme="minorEastAsia" w:hAnsiTheme="minorEastAsia" w:cs="等线"/>
                <w:kern w:val="0"/>
                <w:sz w:val="18"/>
                <w:szCs w:val="18"/>
              </w:rPr>
            </w:pPr>
            <w:r>
              <w:rPr>
                <w:rStyle w:val="a4"/>
                <w:rFonts w:asciiTheme="minorEastAsia" w:hAnsiTheme="minorEastAsia" w:cs="等线" w:hint="eastAsia"/>
                <w:sz w:val="18"/>
                <w:szCs w:val="18"/>
              </w:rPr>
              <w:t>支持根据角色进行授权；</w:t>
            </w:r>
          </w:p>
          <w:p w:rsidR="00980D32" w:rsidRDefault="000676CC">
            <w:pPr>
              <w:pStyle w:val="a5"/>
              <w:numPr>
                <w:ilvl w:val="0"/>
                <w:numId w:val="1"/>
              </w:numPr>
              <w:spacing w:line="276" w:lineRule="auto"/>
              <w:ind w:firstLineChars="0"/>
              <w:rPr>
                <w:rFonts w:asciiTheme="minorEastAsia" w:hAnsiTheme="minorEastAsia" w:cs="等线"/>
                <w:kern w:val="0"/>
                <w:sz w:val="18"/>
                <w:szCs w:val="18"/>
              </w:rPr>
            </w:pPr>
            <w:r>
              <w:rPr>
                <w:rStyle w:val="a4"/>
                <w:rFonts w:asciiTheme="minorEastAsia" w:hAnsiTheme="minorEastAsia" w:cs="等线" w:hint="eastAsia"/>
                <w:sz w:val="18"/>
                <w:szCs w:val="18"/>
              </w:rPr>
              <w:t>支持根据人员进行授权；</w:t>
            </w:r>
          </w:p>
          <w:p w:rsidR="00980D32" w:rsidRDefault="000676CC">
            <w:pPr>
              <w:pStyle w:val="a5"/>
              <w:numPr>
                <w:ilvl w:val="0"/>
                <w:numId w:val="1"/>
              </w:numPr>
              <w:spacing w:line="276" w:lineRule="auto"/>
              <w:ind w:firstLineChars="0"/>
              <w:rPr>
                <w:rFonts w:asciiTheme="minorEastAsia" w:hAnsiTheme="minorEastAsia" w:cs="等线"/>
                <w:kern w:val="0"/>
                <w:sz w:val="18"/>
                <w:szCs w:val="18"/>
              </w:rPr>
            </w:pPr>
            <w:r>
              <w:rPr>
                <w:rFonts w:asciiTheme="minorEastAsia" w:hAnsiTheme="minorEastAsia" w:cs="等线" w:hint="eastAsia"/>
                <w:sz w:val="18"/>
                <w:szCs w:val="18"/>
              </w:rPr>
              <w:t>支持根据项目模块授权；</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支持根据项目相关操作进行授权。</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4</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sz w:val="18"/>
                <w:szCs w:val="18"/>
              </w:rPr>
              <w:t>方案</w:t>
            </w:r>
            <w:r>
              <w:rPr>
                <w:rFonts w:asciiTheme="minorEastAsia" w:hAnsiTheme="minorEastAsia" w:cs="等线" w:hint="eastAsia"/>
                <w:color w:val="000000"/>
                <w:sz w:val="18"/>
                <w:szCs w:val="18"/>
              </w:rPr>
              <w:t>配置功能</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支持在线自定义方案设计；</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支持添加方案访视执行项；</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5</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受试者管理功能</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支持单一、批量录入受试者信息；</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支持根据访视表生成受试者访视记录表并查看；</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支持对受试者进行各个状态标识操作。</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6</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人员管理功能</w:t>
            </w:r>
          </w:p>
        </w:tc>
        <w:tc>
          <w:tcPr>
            <w:tcW w:w="3692" w:type="pct"/>
            <w:vAlign w:val="center"/>
          </w:tcPr>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支持单一、批量添加人员；</w:t>
            </w:r>
            <w:bookmarkStart w:id="0" w:name="_GoBack"/>
            <w:bookmarkEnd w:id="0"/>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支持按</w:t>
            </w:r>
            <w:r w:rsidR="008845F8">
              <w:rPr>
                <w:rFonts w:asciiTheme="minorEastAsia" w:hAnsiTheme="minorEastAsia" w:cs="等线" w:hint="eastAsia"/>
                <w:sz w:val="18"/>
                <w:szCs w:val="18"/>
              </w:rPr>
              <w:t>医院</w:t>
            </w:r>
            <w:r>
              <w:rPr>
                <w:rFonts w:asciiTheme="minorEastAsia" w:hAnsiTheme="minorEastAsia" w:cs="等线" w:hint="eastAsia"/>
                <w:sz w:val="18"/>
                <w:szCs w:val="18"/>
              </w:rPr>
              <w:t>、科室、角色等人员管理；</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lastRenderedPageBreak/>
              <w:t>支持根据</w:t>
            </w:r>
            <w:r w:rsidR="008845F8">
              <w:rPr>
                <w:rFonts w:asciiTheme="minorEastAsia" w:hAnsiTheme="minorEastAsia" w:cs="等线" w:hint="eastAsia"/>
                <w:sz w:val="18"/>
                <w:szCs w:val="18"/>
              </w:rPr>
              <w:t>医院</w:t>
            </w:r>
            <w:r>
              <w:rPr>
                <w:rFonts w:asciiTheme="minorEastAsia" w:hAnsiTheme="minorEastAsia" w:cs="等线" w:hint="eastAsia"/>
                <w:sz w:val="18"/>
                <w:szCs w:val="18"/>
              </w:rPr>
              <w:t>、科室、角色等多维度进行查询；</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支持个人简历在线打印；</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支持导出人员信息报表。</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lastRenderedPageBreak/>
              <w:t>7</w:t>
            </w:r>
          </w:p>
        </w:tc>
        <w:tc>
          <w:tcPr>
            <w:tcW w:w="860" w:type="pct"/>
            <w:vAlign w:val="center"/>
          </w:tcPr>
          <w:p w:rsidR="00980D32" w:rsidRDefault="000676CC">
            <w:pPr>
              <w:spacing w:line="276" w:lineRule="auto"/>
              <w:jc w:val="center"/>
              <w:rPr>
                <w:rFonts w:asciiTheme="minorEastAsia" w:hAnsiTheme="minorEastAsia" w:cs="等线"/>
                <w:color w:val="000000"/>
                <w:sz w:val="18"/>
                <w:szCs w:val="18"/>
                <w:lang w:eastAsia="zh-Hans"/>
              </w:rPr>
            </w:pPr>
            <w:r>
              <w:rPr>
                <w:rFonts w:asciiTheme="minorEastAsia" w:hAnsiTheme="minorEastAsia" w:cs="等线" w:hint="eastAsia"/>
                <w:color w:val="000000"/>
                <w:sz w:val="18"/>
                <w:szCs w:val="18"/>
                <w:lang w:eastAsia="zh-Hans"/>
              </w:rPr>
              <w:t>伦理配置管理</w:t>
            </w:r>
          </w:p>
        </w:tc>
        <w:tc>
          <w:tcPr>
            <w:tcW w:w="3692" w:type="pct"/>
            <w:vAlign w:val="center"/>
          </w:tcPr>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支持伦理审查审批流程节点自定义。</w:t>
            </w:r>
          </w:p>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支持不同项目类型伦理送审文件清单自定义。</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支持伦理表单根据SOP自定义。</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8</w:t>
            </w:r>
          </w:p>
        </w:tc>
        <w:tc>
          <w:tcPr>
            <w:tcW w:w="860" w:type="pct"/>
            <w:vAlign w:val="center"/>
          </w:tcPr>
          <w:p w:rsidR="00980D32" w:rsidRDefault="000676CC">
            <w:pPr>
              <w:spacing w:line="276" w:lineRule="auto"/>
              <w:jc w:val="center"/>
              <w:rPr>
                <w:rFonts w:asciiTheme="minorEastAsia" w:hAnsiTheme="minorEastAsia" w:cs="等线"/>
                <w:color w:val="000000"/>
                <w:sz w:val="18"/>
                <w:szCs w:val="18"/>
                <w:lang w:eastAsia="zh-Hans"/>
              </w:rPr>
            </w:pPr>
            <w:r>
              <w:rPr>
                <w:rFonts w:hint="eastAsia"/>
                <w:color w:val="000000"/>
                <w:sz w:val="18"/>
                <w:szCs w:val="18"/>
              </w:rPr>
              <w:t>伦理审查类型功能</w:t>
            </w:r>
          </w:p>
        </w:tc>
        <w:tc>
          <w:tcPr>
            <w:tcW w:w="3692" w:type="pct"/>
            <w:vAlign w:val="center"/>
          </w:tcPr>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支持不同伦理审查类型，包括初始审查、复审、修正案审查、年度/定期跟踪审查、严重不良事件审查、违背方案审查、暂停/终止研究审查、结题审查；</w:t>
            </w:r>
          </w:p>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支持在线申请、递交资料，在线审核；</w:t>
            </w:r>
          </w:p>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支持各种审查表单在线编辑及打印；</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支持表单编辑、打印权限控制到个人。</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9</w:t>
            </w:r>
          </w:p>
        </w:tc>
        <w:tc>
          <w:tcPr>
            <w:tcW w:w="860" w:type="pct"/>
            <w:vAlign w:val="center"/>
          </w:tcPr>
          <w:p w:rsidR="00980D32" w:rsidRDefault="000676CC">
            <w:pPr>
              <w:spacing w:line="276" w:lineRule="auto"/>
              <w:jc w:val="center"/>
              <w:rPr>
                <w:color w:val="000000"/>
                <w:sz w:val="18"/>
                <w:szCs w:val="18"/>
              </w:rPr>
            </w:pPr>
            <w:r>
              <w:rPr>
                <w:rStyle w:val="a4"/>
                <w:rFonts w:asciiTheme="minorEastAsia" w:hAnsiTheme="minorEastAsia" w:hint="eastAsia"/>
                <w:sz w:val="18"/>
                <w:szCs w:val="18"/>
              </w:rPr>
              <w:t>伦理委员在线审核功能</w:t>
            </w:r>
          </w:p>
        </w:tc>
        <w:tc>
          <w:tcPr>
            <w:tcW w:w="3692" w:type="pct"/>
            <w:vAlign w:val="center"/>
          </w:tcPr>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支持主审在线对文件进行批注与审查；</w:t>
            </w:r>
          </w:p>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支持多种审查方式：快审、会审、快审转会审；</w:t>
            </w:r>
          </w:p>
          <w:p w:rsidR="00980D32" w:rsidRDefault="000676CC">
            <w:pPr>
              <w:pStyle w:val="a5"/>
              <w:numPr>
                <w:ilvl w:val="0"/>
                <w:numId w:val="1"/>
              </w:numPr>
              <w:spacing w:line="360" w:lineRule="auto"/>
              <w:ind w:firstLineChars="0"/>
              <w:rPr>
                <w:rFonts w:asciiTheme="minorEastAsia" w:hAnsiTheme="minorEastAsia" w:cs="等线"/>
                <w:sz w:val="18"/>
                <w:szCs w:val="18"/>
              </w:rPr>
            </w:pPr>
            <w:r>
              <w:rPr>
                <w:rFonts w:asciiTheme="minorEastAsia" w:hAnsiTheme="minorEastAsia" w:cs="等线" w:hint="eastAsia"/>
                <w:sz w:val="18"/>
                <w:szCs w:val="18"/>
              </w:rPr>
              <w:t>支持在线打印批件及通知函；</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支持根据</w:t>
            </w:r>
            <w:r>
              <w:rPr>
                <w:rFonts w:asciiTheme="minorEastAsia" w:hAnsiTheme="minorEastAsia" w:cs="等线" w:hint="eastAsia"/>
                <w:sz w:val="18"/>
                <w:szCs w:val="18"/>
                <w:lang w:eastAsia="zh-Hans"/>
              </w:rPr>
              <w:t>伦理审查类型</w:t>
            </w:r>
            <w:r>
              <w:rPr>
                <w:rFonts w:asciiTheme="minorEastAsia" w:hAnsiTheme="minorEastAsia" w:cs="等线" w:hint="eastAsia"/>
                <w:sz w:val="18"/>
                <w:szCs w:val="18"/>
              </w:rPr>
              <w:t>、</w:t>
            </w:r>
            <w:r>
              <w:rPr>
                <w:rFonts w:asciiTheme="minorEastAsia" w:hAnsiTheme="minorEastAsia" w:cs="等线" w:hint="eastAsia"/>
                <w:sz w:val="18"/>
                <w:szCs w:val="18"/>
                <w:lang w:eastAsia="zh-Hans"/>
              </w:rPr>
              <w:t>伦理审查状态</w:t>
            </w:r>
            <w:r>
              <w:rPr>
                <w:rFonts w:asciiTheme="minorEastAsia" w:hAnsiTheme="minorEastAsia" w:cs="等线"/>
                <w:sz w:val="18"/>
                <w:szCs w:val="18"/>
                <w:lang w:eastAsia="zh-Hans"/>
              </w:rPr>
              <w:t>、</w:t>
            </w:r>
            <w:r>
              <w:rPr>
                <w:rFonts w:asciiTheme="minorEastAsia" w:hAnsiTheme="minorEastAsia" w:cs="等线" w:hint="eastAsia"/>
                <w:sz w:val="18"/>
                <w:szCs w:val="18"/>
                <w:lang w:eastAsia="zh-Hans"/>
              </w:rPr>
              <w:t>伦理审查受理号</w:t>
            </w:r>
            <w:r>
              <w:rPr>
                <w:rFonts w:asciiTheme="minorEastAsia" w:hAnsiTheme="minorEastAsia" w:cs="等线" w:hint="eastAsia"/>
                <w:sz w:val="18"/>
                <w:szCs w:val="18"/>
              </w:rPr>
              <w:t>等多维度查询批件。</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10</w:t>
            </w:r>
          </w:p>
        </w:tc>
        <w:tc>
          <w:tcPr>
            <w:tcW w:w="860" w:type="pct"/>
            <w:vAlign w:val="center"/>
          </w:tcPr>
          <w:p w:rsidR="00980D32" w:rsidRDefault="000676CC">
            <w:pPr>
              <w:spacing w:line="276" w:lineRule="auto"/>
              <w:jc w:val="center"/>
              <w:rPr>
                <w:rStyle w:val="a4"/>
                <w:rFonts w:asciiTheme="minorEastAsia" w:hAnsiTheme="minorEastAsia"/>
                <w:sz w:val="18"/>
                <w:szCs w:val="18"/>
              </w:rPr>
            </w:pPr>
            <w:r>
              <w:rPr>
                <w:rFonts w:asciiTheme="minorEastAsia" w:hAnsiTheme="minorEastAsia" w:cs="等线" w:hint="eastAsia"/>
                <w:color w:val="000000"/>
                <w:sz w:val="18"/>
                <w:szCs w:val="18"/>
              </w:rPr>
              <w:t>伦理在线会议功能</w:t>
            </w:r>
          </w:p>
        </w:tc>
        <w:tc>
          <w:tcPr>
            <w:tcW w:w="3692" w:type="pct"/>
            <w:vAlign w:val="center"/>
          </w:tcPr>
          <w:p w:rsidR="00980D32" w:rsidRDefault="000676CC">
            <w:pPr>
              <w:pStyle w:val="a5"/>
              <w:numPr>
                <w:ilvl w:val="0"/>
                <w:numId w:val="1"/>
              </w:numPr>
              <w:spacing w:line="360" w:lineRule="auto"/>
              <w:ind w:left="0" w:firstLineChars="0" w:firstLine="0"/>
              <w:rPr>
                <w:rFonts w:asciiTheme="minorEastAsia" w:hAnsiTheme="minorEastAsia" w:cs="等线"/>
                <w:sz w:val="18"/>
                <w:szCs w:val="18"/>
              </w:rPr>
            </w:pPr>
            <w:r>
              <w:rPr>
                <w:rFonts w:asciiTheme="minorEastAsia" w:hAnsiTheme="minorEastAsia" w:cs="等线" w:hint="eastAsia"/>
                <w:sz w:val="18"/>
                <w:szCs w:val="18"/>
              </w:rPr>
              <w:t>支持在线安排伦理会议；</w:t>
            </w:r>
          </w:p>
          <w:p w:rsidR="00980D32" w:rsidRDefault="000676CC">
            <w:pPr>
              <w:pStyle w:val="a5"/>
              <w:numPr>
                <w:ilvl w:val="0"/>
                <w:numId w:val="1"/>
              </w:numPr>
              <w:spacing w:line="360" w:lineRule="auto"/>
              <w:ind w:left="0" w:firstLineChars="0" w:firstLine="0"/>
              <w:rPr>
                <w:rFonts w:asciiTheme="minorEastAsia" w:hAnsiTheme="minorEastAsia" w:cs="等线"/>
                <w:sz w:val="18"/>
                <w:szCs w:val="18"/>
              </w:rPr>
            </w:pPr>
            <w:r>
              <w:rPr>
                <w:rFonts w:asciiTheme="minorEastAsia" w:hAnsiTheme="minorEastAsia" w:cs="等线" w:hint="eastAsia"/>
                <w:sz w:val="18"/>
                <w:szCs w:val="18"/>
              </w:rPr>
              <w:t>支持委员在线投票、反馈意见；</w:t>
            </w:r>
          </w:p>
          <w:p w:rsidR="00980D32" w:rsidRDefault="000676CC">
            <w:pPr>
              <w:pStyle w:val="a5"/>
              <w:numPr>
                <w:ilvl w:val="0"/>
                <w:numId w:val="1"/>
              </w:numPr>
              <w:spacing w:line="360" w:lineRule="auto"/>
              <w:ind w:left="0" w:firstLineChars="0" w:firstLine="0"/>
              <w:rPr>
                <w:rFonts w:asciiTheme="minorEastAsia" w:hAnsiTheme="minorEastAsia" w:cs="等线"/>
                <w:sz w:val="18"/>
                <w:szCs w:val="18"/>
              </w:rPr>
            </w:pPr>
            <w:r>
              <w:rPr>
                <w:rFonts w:asciiTheme="minorEastAsia" w:hAnsiTheme="minorEastAsia" w:cs="等线"/>
                <w:sz w:val="18"/>
                <w:szCs w:val="18"/>
              </w:rPr>
              <w:t>支持根据伦理会议信息生成会议纪要</w:t>
            </w:r>
            <w:r>
              <w:rPr>
                <w:rFonts w:asciiTheme="minorEastAsia" w:hAnsiTheme="minorEastAsia" w:cs="等线" w:hint="eastAsia"/>
                <w:sz w:val="18"/>
                <w:szCs w:val="18"/>
              </w:rPr>
              <w:t>；</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lang w:eastAsia="zh-Hans"/>
              </w:rPr>
              <w:t>支持安排伦理会议通知到相应人员</w:t>
            </w:r>
            <w:r>
              <w:rPr>
                <w:rFonts w:asciiTheme="minorEastAsia" w:hAnsiTheme="minorEastAsia" w:cs="等线"/>
                <w:sz w:val="18"/>
                <w:szCs w:val="18"/>
                <w:lang w:eastAsia="zh-Hans"/>
              </w:rPr>
              <w:t>。</w:t>
            </w:r>
          </w:p>
        </w:tc>
      </w:tr>
      <w:tr w:rsidR="00980D32">
        <w:trPr>
          <w:trHeight w:val="89"/>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color w:val="000000"/>
                <w:sz w:val="18"/>
                <w:szCs w:val="18"/>
              </w:rPr>
              <w:t>11</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伦理人员管理功能</w:t>
            </w:r>
          </w:p>
        </w:tc>
        <w:tc>
          <w:tcPr>
            <w:tcW w:w="3692" w:type="pct"/>
            <w:vAlign w:val="center"/>
          </w:tcPr>
          <w:p w:rsidR="00980D32" w:rsidRDefault="000676CC">
            <w:pPr>
              <w:pStyle w:val="1"/>
              <w:numPr>
                <w:ilvl w:val="0"/>
                <w:numId w:val="1"/>
              </w:numPr>
              <w:spacing w:line="360"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支持多伦理委员会管理；</w:t>
            </w:r>
          </w:p>
          <w:p w:rsidR="00980D32" w:rsidRDefault="000676CC">
            <w:pPr>
              <w:pStyle w:val="1"/>
              <w:numPr>
                <w:ilvl w:val="0"/>
                <w:numId w:val="1"/>
              </w:numPr>
              <w:spacing w:line="360"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支持按照伦理委员会成员、角色等进行人员管理；</w:t>
            </w:r>
          </w:p>
          <w:p w:rsidR="00980D32" w:rsidRDefault="000676CC">
            <w:pPr>
              <w:pStyle w:val="1"/>
              <w:numPr>
                <w:ilvl w:val="0"/>
                <w:numId w:val="1"/>
              </w:numPr>
              <w:spacing w:line="360"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支持伦理委员会换届管理；</w:t>
            </w:r>
          </w:p>
          <w:p w:rsidR="00980D32" w:rsidRDefault="000676CC">
            <w:pPr>
              <w:pStyle w:val="a5"/>
              <w:numPr>
                <w:ilvl w:val="0"/>
                <w:numId w:val="1"/>
              </w:numPr>
              <w:spacing w:line="276" w:lineRule="auto"/>
              <w:ind w:firstLineChars="0"/>
              <w:rPr>
                <w:rFonts w:asciiTheme="minorEastAsia" w:hAnsiTheme="minorEastAsia" w:cs="等线"/>
                <w:sz w:val="18"/>
                <w:szCs w:val="18"/>
              </w:rPr>
            </w:pPr>
            <w:r>
              <w:rPr>
                <w:rFonts w:asciiTheme="minorEastAsia" w:hAnsiTheme="minorEastAsia" w:cs="等线" w:hint="eastAsia"/>
                <w:sz w:val="18"/>
                <w:szCs w:val="18"/>
              </w:rPr>
              <w:t>支持导出人员信息报表。</w:t>
            </w:r>
          </w:p>
        </w:tc>
      </w:tr>
      <w:tr w:rsidR="00980D32">
        <w:trPr>
          <w:trHeight w:val="1772"/>
          <w:jc w:val="center"/>
        </w:trPr>
        <w:tc>
          <w:tcPr>
            <w:tcW w:w="447"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1</w:t>
            </w:r>
            <w:r>
              <w:rPr>
                <w:rFonts w:asciiTheme="minorEastAsia" w:hAnsiTheme="minorEastAsia" w:cs="等线"/>
                <w:color w:val="000000"/>
                <w:sz w:val="18"/>
                <w:szCs w:val="18"/>
              </w:rPr>
              <w:t>2</w:t>
            </w:r>
          </w:p>
        </w:tc>
        <w:tc>
          <w:tcPr>
            <w:tcW w:w="860" w:type="pct"/>
            <w:vAlign w:val="center"/>
          </w:tcPr>
          <w:p w:rsidR="00980D32" w:rsidRDefault="000676CC">
            <w:pPr>
              <w:spacing w:line="276" w:lineRule="auto"/>
              <w:jc w:val="center"/>
              <w:rPr>
                <w:rFonts w:asciiTheme="minorEastAsia" w:hAnsiTheme="minorEastAsia" w:cs="等线"/>
                <w:color w:val="000000"/>
                <w:sz w:val="18"/>
                <w:szCs w:val="18"/>
              </w:rPr>
            </w:pPr>
            <w:r>
              <w:rPr>
                <w:rFonts w:asciiTheme="minorEastAsia" w:hAnsiTheme="minorEastAsia" w:cs="等线" w:hint="eastAsia"/>
                <w:color w:val="000000"/>
                <w:sz w:val="18"/>
                <w:szCs w:val="18"/>
              </w:rPr>
              <w:t>技术支持</w:t>
            </w:r>
          </w:p>
        </w:tc>
        <w:tc>
          <w:tcPr>
            <w:tcW w:w="3692" w:type="pct"/>
            <w:vAlign w:val="center"/>
          </w:tcPr>
          <w:p w:rsidR="00980D32" w:rsidRDefault="000676CC">
            <w:pPr>
              <w:pStyle w:val="1"/>
              <w:numPr>
                <w:ilvl w:val="0"/>
                <w:numId w:val="1"/>
              </w:numPr>
              <w:spacing w:line="276"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供应商在系统上线完成后，以电话、QQ、微信、邮件等方式提供技术支持；</w:t>
            </w:r>
          </w:p>
          <w:p w:rsidR="00980D32" w:rsidRDefault="000676CC">
            <w:pPr>
              <w:pStyle w:val="1"/>
              <w:numPr>
                <w:ilvl w:val="0"/>
                <w:numId w:val="1"/>
              </w:numPr>
              <w:spacing w:line="276"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供应商提供系统上线的实施服务，包括系统的规划、安装配置和培训；</w:t>
            </w:r>
          </w:p>
          <w:p w:rsidR="00980D32" w:rsidRDefault="000676CC">
            <w:pPr>
              <w:pStyle w:val="1"/>
              <w:numPr>
                <w:ilvl w:val="0"/>
                <w:numId w:val="1"/>
              </w:numPr>
              <w:spacing w:line="276"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供应商在甲方接受相应的法规符合性检查/审计时需提供必要的技术支持；</w:t>
            </w:r>
          </w:p>
          <w:p w:rsidR="00980D32" w:rsidRDefault="000676CC">
            <w:pPr>
              <w:pStyle w:val="1"/>
              <w:numPr>
                <w:ilvl w:val="0"/>
                <w:numId w:val="1"/>
              </w:numPr>
              <w:spacing w:line="276" w:lineRule="auto"/>
              <w:ind w:firstLineChars="0"/>
              <w:rPr>
                <w:rFonts w:asciiTheme="minorEastAsia" w:eastAsiaTheme="minorEastAsia" w:hAnsiTheme="minorEastAsia" w:cs="等线"/>
                <w:sz w:val="18"/>
                <w:szCs w:val="18"/>
                <w:lang w:val="en-US"/>
              </w:rPr>
            </w:pPr>
            <w:r>
              <w:rPr>
                <w:rFonts w:asciiTheme="minorEastAsia" w:eastAsiaTheme="minorEastAsia" w:hAnsiTheme="minorEastAsia" w:cs="等线" w:hint="eastAsia"/>
                <w:sz w:val="18"/>
                <w:szCs w:val="18"/>
                <w:lang w:val="en-US"/>
              </w:rPr>
              <w:t>在流程发生改变、产品与GMP条款发生冲突、系统出现bug时，供应商应提供免费服务，做出相应变更。</w:t>
            </w:r>
          </w:p>
        </w:tc>
      </w:tr>
    </w:tbl>
    <w:p w:rsidR="00980D32" w:rsidRDefault="00980D32">
      <w:pPr>
        <w:spacing w:line="360" w:lineRule="auto"/>
        <w:rPr>
          <w:sz w:val="24"/>
        </w:rPr>
      </w:pPr>
    </w:p>
    <w:p w:rsidR="00980D32" w:rsidRDefault="000676CC">
      <w:pPr>
        <w:spacing w:line="360" w:lineRule="auto"/>
        <w:rPr>
          <w:b/>
          <w:bCs/>
          <w:sz w:val="24"/>
        </w:rPr>
      </w:pPr>
      <w:r>
        <w:rPr>
          <w:rFonts w:hint="eastAsia"/>
          <w:b/>
          <w:bCs/>
          <w:sz w:val="24"/>
        </w:rPr>
        <w:lastRenderedPageBreak/>
        <w:t>二、商务要求</w:t>
      </w:r>
      <w:r>
        <w:rPr>
          <w:rFonts w:hint="eastAsia"/>
          <w:b/>
          <w:bCs/>
          <w:sz w:val="24"/>
        </w:rPr>
        <w:t>:</w:t>
      </w:r>
    </w:p>
    <w:p w:rsidR="00980D32" w:rsidRDefault="000676CC">
      <w:pPr>
        <w:spacing w:line="360" w:lineRule="auto"/>
        <w:rPr>
          <w:b/>
          <w:bCs/>
          <w:sz w:val="24"/>
        </w:rPr>
      </w:pPr>
      <w:r>
        <w:rPr>
          <w:rFonts w:hint="eastAsia"/>
          <w:b/>
          <w:bCs/>
          <w:sz w:val="24"/>
        </w:rPr>
        <w:t>交付时间：</w:t>
      </w:r>
    </w:p>
    <w:p w:rsidR="00980D32" w:rsidRDefault="000676CC">
      <w:pPr>
        <w:spacing w:line="360" w:lineRule="auto"/>
        <w:rPr>
          <w:sz w:val="24"/>
        </w:rPr>
      </w:pPr>
      <w:r>
        <w:rPr>
          <w:rFonts w:hint="eastAsia"/>
          <w:sz w:val="24"/>
        </w:rPr>
        <w:t>合同签署后一个月内。</w:t>
      </w:r>
    </w:p>
    <w:p w:rsidR="00980D32" w:rsidRDefault="00980D32">
      <w:pPr>
        <w:spacing w:line="360" w:lineRule="auto"/>
        <w:rPr>
          <w:sz w:val="24"/>
        </w:rPr>
      </w:pPr>
    </w:p>
    <w:p w:rsidR="00980D32" w:rsidRDefault="000676CC">
      <w:pPr>
        <w:spacing w:line="360" w:lineRule="auto"/>
        <w:rPr>
          <w:b/>
          <w:bCs/>
          <w:sz w:val="24"/>
        </w:rPr>
      </w:pPr>
      <w:r>
        <w:rPr>
          <w:rFonts w:hint="eastAsia"/>
          <w:b/>
          <w:bCs/>
          <w:sz w:val="24"/>
        </w:rPr>
        <w:t>售后服务：</w:t>
      </w:r>
    </w:p>
    <w:p w:rsidR="00980D32" w:rsidRDefault="000676CC">
      <w:pPr>
        <w:widowControl/>
        <w:autoSpaceDE w:val="0"/>
        <w:autoSpaceDN w:val="0"/>
        <w:spacing w:line="380" w:lineRule="exact"/>
        <w:ind w:firstLineChars="200" w:firstLine="480"/>
        <w:textAlignment w:val="bottom"/>
        <w:rPr>
          <w:rFonts w:ascii="宋体" w:eastAsia="宋体" w:hAnsi="宋体" w:cs="宋体"/>
          <w:sz w:val="24"/>
        </w:rPr>
      </w:pPr>
      <w:r>
        <w:rPr>
          <w:rFonts w:ascii="宋体" w:eastAsia="宋体" w:hAnsi="宋体" w:cs="宋体" w:hint="eastAsia"/>
          <w:sz w:val="24"/>
        </w:rPr>
        <w:t>1、免费质保期：</w:t>
      </w:r>
      <w:proofErr w:type="gramStart"/>
      <w:r>
        <w:rPr>
          <w:rFonts w:ascii="宋体" w:eastAsia="宋体" w:hAnsi="宋体" w:cs="宋体" w:hint="eastAsia"/>
          <w:sz w:val="24"/>
        </w:rPr>
        <w:t>自</w:t>
      </w:r>
      <w:r w:rsidR="00045571">
        <w:rPr>
          <w:rFonts w:ascii="宋体" w:eastAsia="宋体" w:hAnsi="宋体" w:cs="宋体" w:hint="eastAsia"/>
          <w:sz w:val="24"/>
        </w:rPr>
        <w:t>项目</w:t>
      </w:r>
      <w:proofErr w:type="gramEnd"/>
      <w:r>
        <w:rPr>
          <w:rFonts w:ascii="宋体" w:eastAsia="宋体" w:hAnsi="宋体" w:cs="宋体" w:hint="eastAsia"/>
          <w:sz w:val="24"/>
        </w:rPr>
        <w:t>验收合格后1年内提供现有功能的免费维护服务。</w:t>
      </w:r>
    </w:p>
    <w:p w:rsidR="00980D32" w:rsidRDefault="000676CC">
      <w:pPr>
        <w:autoSpaceDE w:val="0"/>
        <w:autoSpaceDN w:val="0"/>
        <w:adjustRightInd w:val="0"/>
        <w:spacing w:before="120" w:after="120" w:line="360" w:lineRule="exact"/>
        <w:ind w:firstLineChars="200" w:firstLine="480"/>
        <w:outlineLvl w:val="0"/>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、日常维护：提供</w:t>
      </w:r>
      <w:r>
        <w:rPr>
          <w:rFonts w:ascii="宋体" w:eastAsia="宋体" w:hAnsi="宋体" w:cs="宋体"/>
          <w:sz w:val="24"/>
        </w:rPr>
        <w:t>5</w:t>
      </w:r>
      <w:r>
        <w:rPr>
          <w:rFonts w:ascii="宋体" w:eastAsia="宋体" w:hAnsi="宋体" w:cs="宋体" w:hint="eastAsia"/>
          <w:sz w:val="24"/>
        </w:rPr>
        <w:t>×</w:t>
      </w:r>
      <w:r>
        <w:rPr>
          <w:rFonts w:ascii="宋体" w:eastAsia="宋体" w:hAnsi="宋体" w:cs="宋体"/>
          <w:sz w:val="24"/>
        </w:rPr>
        <w:t>8</w:t>
      </w:r>
      <w:r>
        <w:rPr>
          <w:rFonts w:ascii="宋体" w:eastAsia="宋体" w:hAnsi="宋体" w:cs="宋体" w:hint="eastAsia"/>
          <w:sz w:val="24"/>
        </w:rPr>
        <w:t>小时远程技术支持，终身提供免费技术支持服务，无偿解决软件故障（软件自身问题）。现场维护响应时间在4小时内。系统出现故障后在30分钟内提供远程技术支持；故障严重或医院要求的情况下8小时内到达现场解决问题，并在24小时内完成故障处理工作。</w:t>
      </w:r>
    </w:p>
    <w:p w:rsidR="00980D32" w:rsidRDefault="00980D32">
      <w:pPr>
        <w:spacing w:line="360" w:lineRule="auto"/>
        <w:rPr>
          <w:sz w:val="24"/>
        </w:rPr>
      </w:pPr>
    </w:p>
    <w:p w:rsidR="00980D32" w:rsidRDefault="000676CC">
      <w:pPr>
        <w:spacing w:line="360" w:lineRule="auto"/>
        <w:rPr>
          <w:b/>
          <w:bCs/>
          <w:sz w:val="24"/>
        </w:rPr>
      </w:pPr>
      <w:r>
        <w:rPr>
          <w:rFonts w:hint="eastAsia"/>
          <w:b/>
          <w:bCs/>
          <w:sz w:val="24"/>
        </w:rPr>
        <w:t>质保期：</w:t>
      </w:r>
    </w:p>
    <w:p w:rsidR="00980D32" w:rsidRDefault="001E09A9">
      <w:pPr>
        <w:spacing w:line="360" w:lineRule="auto"/>
        <w:ind w:firstLineChars="200" w:firstLine="480"/>
        <w:rPr>
          <w:sz w:val="24"/>
        </w:rPr>
      </w:pPr>
      <w:r w:rsidRPr="001E09A9">
        <w:rPr>
          <w:rFonts w:hint="eastAsia"/>
          <w:sz w:val="24"/>
        </w:rPr>
        <w:t>验收合格之日起一年</w:t>
      </w:r>
      <w:r w:rsidR="000676CC">
        <w:rPr>
          <w:rFonts w:hint="eastAsia"/>
          <w:sz w:val="24"/>
        </w:rPr>
        <w:t>。</w:t>
      </w:r>
    </w:p>
    <w:p w:rsidR="00980D32" w:rsidRDefault="00980D32">
      <w:pPr>
        <w:spacing w:line="360" w:lineRule="auto"/>
        <w:rPr>
          <w:sz w:val="24"/>
        </w:rPr>
      </w:pPr>
    </w:p>
    <w:p w:rsidR="00980D32" w:rsidRDefault="000676CC">
      <w:pPr>
        <w:spacing w:line="360" w:lineRule="auto"/>
        <w:rPr>
          <w:b/>
          <w:bCs/>
          <w:sz w:val="24"/>
        </w:rPr>
      </w:pPr>
      <w:r>
        <w:rPr>
          <w:rFonts w:hint="eastAsia"/>
          <w:b/>
          <w:bCs/>
          <w:sz w:val="24"/>
        </w:rPr>
        <w:t>培训要求：</w:t>
      </w:r>
    </w:p>
    <w:p w:rsidR="00980D32" w:rsidRDefault="000676CC">
      <w:pPr>
        <w:snapToGrid w:val="0"/>
        <w:spacing w:line="360" w:lineRule="auto"/>
        <w:ind w:firstLineChars="200" w:firstLine="480"/>
        <w:rPr>
          <w:rFonts w:ascii="宋体" w:eastAsia="宋体" w:hAnsi="宋体" w:cs="宋体"/>
          <w:sz w:val="24"/>
        </w:rPr>
      </w:pPr>
      <w:r>
        <w:rPr>
          <w:rFonts w:ascii="宋体" w:eastAsia="宋体" w:hAnsi="宋体" w:cs="宋体" w:hint="eastAsia"/>
          <w:sz w:val="24"/>
        </w:rPr>
        <w:t>提供系统使用说明，并制定培训计划，对所有系统使用者进行培训，直至使用者可以正确使用该系统。</w:t>
      </w:r>
    </w:p>
    <w:p w:rsidR="00980D32" w:rsidRDefault="00980D32">
      <w:pPr>
        <w:spacing w:line="360" w:lineRule="auto"/>
        <w:rPr>
          <w:sz w:val="24"/>
        </w:rPr>
      </w:pPr>
    </w:p>
    <w:sectPr w:rsidR="00980D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F68" w:rsidRDefault="00BE7F68" w:rsidP="001E09A9">
      <w:r>
        <w:separator/>
      </w:r>
    </w:p>
  </w:endnote>
  <w:endnote w:type="continuationSeparator" w:id="0">
    <w:p w:rsidR="00BE7F68" w:rsidRDefault="00BE7F68" w:rsidP="001E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F68" w:rsidRDefault="00BE7F68" w:rsidP="001E09A9">
      <w:r>
        <w:separator/>
      </w:r>
    </w:p>
  </w:footnote>
  <w:footnote w:type="continuationSeparator" w:id="0">
    <w:p w:rsidR="00BE7F68" w:rsidRDefault="00BE7F68" w:rsidP="001E0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179FB"/>
    <w:multiLevelType w:val="multilevel"/>
    <w:tmpl w:val="604179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OThiNjk4NWMxMTI0NTkzZDE4MGM3OGYxMjQzZDAifQ=="/>
  </w:docVars>
  <w:rsids>
    <w:rsidRoot w:val="0006187B"/>
    <w:rsid w:val="00045571"/>
    <w:rsid w:val="0006187B"/>
    <w:rsid w:val="000676CC"/>
    <w:rsid w:val="001E09A9"/>
    <w:rsid w:val="004D00D7"/>
    <w:rsid w:val="008310C6"/>
    <w:rsid w:val="008845F8"/>
    <w:rsid w:val="00980D32"/>
    <w:rsid w:val="00992017"/>
    <w:rsid w:val="00BE7F68"/>
    <w:rsid w:val="00CC6C1C"/>
    <w:rsid w:val="00D32191"/>
    <w:rsid w:val="0D2B7707"/>
    <w:rsid w:val="0F4D7F4F"/>
    <w:rsid w:val="12DB5DA2"/>
    <w:rsid w:val="15E038B4"/>
    <w:rsid w:val="21667363"/>
    <w:rsid w:val="2C5030EA"/>
    <w:rsid w:val="2C722F0F"/>
    <w:rsid w:val="30A83BF8"/>
    <w:rsid w:val="39CF7C42"/>
    <w:rsid w:val="3F972B04"/>
    <w:rsid w:val="42403CD9"/>
    <w:rsid w:val="4B1A6945"/>
    <w:rsid w:val="4E915170"/>
    <w:rsid w:val="56235666"/>
    <w:rsid w:val="5DA14CA4"/>
    <w:rsid w:val="6299419B"/>
    <w:rsid w:val="67B51A77"/>
    <w:rsid w:val="715440AF"/>
    <w:rsid w:val="716A6229"/>
    <w:rsid w:val="739F7DC1"/>
    <w:rsid w:val="7BEF1D0C"/>
    <w:rsid w:val="7ECF2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qFormat/>
    <w:rPr>
      <w:sz w:val="21"/>
      <w:szCs w:val="21"/>
    </w:rPr>
  </w:style>
  <w:style w:type="paragraph" w:styleId="a5">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szCs w:val="22"/>
      <w:lang w:val="zh-CN"/>
    </w:rPr>
  </w:style>
  <w:style w:type="paragraph" w:styleId="a6">
    <w:name w:val="header"/>
    <w:basedOn w:val="a"/>
    <w:link w:val="Char"/>
    <w:rsid w:val="001E0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09A9"/>
    <w:rPr>
      <w:kern w:val="2"/>
      <w:sz w:val="18"/>
      <w:szCs w:val="18"/>
    </w:rPr>
  </w:style>
  <w:style w:type="paragraph" w:styleId="a7">
    <w:name w:val="footer"/>
    <w:basedOn w:val="a"/>
    <w:link w:val="Char0"/>
    <w:rsid w:val="001E09A9"/>
    <w:pPr>
      <w:tabs>
        <w:tab w:val="center" w:pos="4153"/>
        <w:tab w:val="right" w:pos="8306"/>
      </w:tabs>
      <w:snapToGrid w:val="0"/>
      <w:jc w:val="left"/>
    </w:pPr>
    <w:rPr>
      <w:sz w:val="18"/>
      <w:szCs w:val="18"/>
    </w:rPr>
  </w:style>
  <w:style w:type="character" w:customStyle="1" w:styleId="Char0">
    <w:name w:val="页脚 Char"/>
    <w:basedOn w:val="a0"/>
    <w:link w:val="a7"/>
    <w:rsid w:val="001E09A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qFormat/>
    <w:rPr>
      <w:sz w:val="21"/>
      <w:szCs w:val="21"/>
    </w:rPr>
  </w:style>
  <w:style w:type="paragraph" w:styleId="a5">
    <w:name w:val="List Paragraph"/>
    <w:basedOn w:val="a"/>
    <w:uiPriority w:val="34"/>
    <w:qFormat/>
    <w:pPr>
      <w:ind w:firstLineChars="200" w:firstLine="420"/>
    </w:pPr>
  </w:style>
  <w:style w:type="paragraph" w:customStyle="1" w:styleId="1">
    <w:name w:val="列出段落1"/>
    <w:basedOn w:val="a"/>
    <w:qFormat/>
    <w:pPr>
      <w:ind w:firstLineChars="200" w:firstLine="420"/>
    </w:pPr>
    <w:rPr>
      <w:rFonts w:ascii="Calibri" w:eastAsia="宋体" w:hAnsi="Calibri" w:cs="Times New Roman"/>
      <w:szCs w:val="22"/>
      <w:lang w:val="zh-CN"/>
    </w:rPr>
  </w:style>
  <w:style w:type="paragraph" w:styleId="a6">
    <w:name w:val="header"/>
    <w:basedOn w:val="a"/>
    <w:link w:val="Char"/>
    <w:rsid w:val="001E09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E09A9"/>
    <w:rPr>
      <w:kern w:val="2"/>
      <w:sz w:val="18"/>
      <w:szCs w:val="18"/>
    </w:rPr>
  </w:style>
  <w:style w:type="paragraph" w:styleId="a7">
    <w:name w:val="footer"/>
    <w:basedOn w:val="a"/>
    <w:link w:val="Char0"/>
    <w:rsid w:val="001E09A9"/>
    <w:pPr>
      <w:tabs>
        <w:tab w:val="center" w:pos="4153"/>
        <w:tab w:val="right" w:pos="8306"/>
      </w:tabs>
      <w:snapToGrid w:val="0"/>
      <w:jc w:val="left"/>
    </w:pPr>
    <w:rPr>
      <w:sz w:val="18"/>
      <w:szCs w:val="18"/>
    </w:rPr>
  </w:style>
  <w:style w:type="character" w:customStyle="1" w:styleId="Char0">
    <w:name w:val="页脚 Char"/>
    <w:basedOn w:val="a0"/>
    <w:link w:val="a7"/>
    <w:rsid w:val="001E09A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施骏</cp:lastModifiedBy>
  <cp:revision>8</cp:revision>
  <dcterms:created xsi:type="dcterms:W3CDTF">2023-04-20T08:29:00Z</dcterms:created>
  <dcterms:modified xsi:type="dcterms:W3CDTF">2023-05-15T00:12:00Z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275B0556D8B0452C9AADA17BEA23DBB0_13</vt:lpwstr>
  </property>
</Properties>
</file>