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5FE" w:rsidRDefault="00257C1B" w:rsidP="00CC15FE">
      <w:pPr>
        <w:spacing w:beforeLines="50" w:before="156" w:afterLines="50" w:after="156" w:line="360" w:lineRule="auto"/>
        <w:ind w:firstLineChars="196" w:firstLine="590"/>
        <w:jc w:val="center"/>
        <w:rPr>
          <w:rFonts w:ascii="宋体" w:hAnsi="宋体"/>
          <w:b/>
          <w:sz w:val="30"/>
        </w:rPr>
      </w:pPr>
      <w:r>
        <w:rPr>
          <w:rFonts w:ascii="宋体" w:hAnsi="宋体" w:hint="eastAsia"/>
          <w:b/>
          <w:sz w:val="30"/>
        </w:rPr>
        <w:t>2023</w:t>
      </w:r>
      <w:r w:rsidR="00CC15FE">
        <w:rPr>
          <w:rFonts w:ascii="宋体" w:hAnsi="宋体" w:hint="eastAsia"/>
          <w:b/>
          <w:sz w:val="30"/>
        </w:rPr>
        <w:t>年中秋福利采购需求</w:t>
      </w:r>
    </w:p>
    <w:p w:rsidR="00CC15FE" w:rsidRDefault="00CC15FE" w:rsidP="00CC15FE">
      <w:pPr>
        <w:spacing w:beforeLines="50" w:before="156" w:afterLines="50" w:after="156" w:line="360" w:lineRule="auto"/>
        <w:ind w:firstLine="495"/>
        <w:rPr>
          <w:rFonts w:ascii="宋体" w:hAnsi="宋体"/>
          <w:b/>
          <w:sz w:val="24"/>
        </w:rPr>
      </w:pPr>
      <w:r>
        <w:rPr>
          <w:rFonts w:ascii="宋体" w:hAnsi="宋体" w:hint="eastAsia"/>
          <w:b/>
          <w:sz w:val="24"/>
        </w:rPr>
        <w:t>一、项目概况</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1、浙江大学医学院附属儿童医院中秋节福利（蛋黄酥礼盒）采购及供货；采购暂定数量为</w:t>
      </w:r>
      <w:r w:rsidR="00257C1B">
        <w:rPr>
          <w:rFonts w:ascii="宋体" w:hAnsi="宋体" w:hint="eastAsia"/>
          <w:sz w:val="24"/>
        </w:rPr>
        <w:t>3700</w:t>
      </w:r>
      <w:r>
        <w:rPr>
          <w:rFonts w:ascii="宋体" w:hAnsi="宋体" w:hint="eastAsia"/>
          <w:sz w:val="24"/>
        </w:rPr>
        <w:t>份，</w:t>
      </w:r>
      <w:r>
        <w:rPr>
          <w:rFonts w:ascii="宋体" w:hAnsi="宋体" w:cs="宋体" w:hint="eastAsia"/>
          <w:sz w:val="24"/>
        </w:rPr>
        <w:t>每份实付人民币固定为80元，</w:t>
      </w:r>
      <w:r>
        <w:rPr>
          <w:rFonts w:ascii="宋体" w:hAnsi="宋体" w:hint="eastAsia"/>
          <w:sz w:val="24"/>
        </w:rPr>
        <w:t>以实际采购数量为准。</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2、供应商接到采购人供货通知后3天内，按采购人要求数量的货物供货到采购人指定地点并按采购人要求完成发放工作。</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3、供货地点：</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浙江大学医学院附属儿童医院(滨江院区），杭州市滨江区滨盛路3333号；</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浙江大学医学院附属儿童医院(湖滨院区），杭州市拱墅区竹竿巷57号。</w:t>
      </w:r>
    </w:p>
    <w:p w:rsidR="00CC15FE" w:rsidRDefault="00CC15FE" w:rsidP="00CC15FE">
      <w:pPr>
        <w:spacing w:beforeLines="50" w:before="156" w:afterLines="50" w:after="156" w:line="360" w:lineRule="auto"/>
        <w:ind w:firstLine="495"/>
        <w:rPr>
          <w:rFonts w:ascii="宋体" w:hAnsi="宋体"/>
          <w:b/>
          <w:sz w:val="24"/>
        </w:rPr>
      </w:pPr>
      <w:r>
        <w:rPr>
          <w:rFonts w:ascii="宋体" w:hAnsi="宋体" w:hint="eastAsia"/>
          <w:b/>
          <w:sz w:val="24"/>
        </w:rPr>
        <w:t>二、采购内容</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259"/>
        <w:gridCol w:w="1259"/>
        <w:gridCol w:w="5374"/>
      </w:tblGrid>
      <w:tr w:rsidR="00CC15FE" w:rsidTr="00257C1B">
        <w:trPr>
          <w:trHeight w:val="567"/>
        </w:trPr>
        <w:tc>
          <w:tcPr>
            <w:tcW w:w="463" w:type="pct"/>
            <w:tcBorders>
              <w:top w:val="single" w:sz="4" w:space="0" w:color="auto"/>
              <w:left w:val="single" w:sz="4" w:space="0" w:color="auto"/>
              <w:bottom w:val="single" w:sz="4" w:space="0" w:color="auto"/>
              <w:right w:val="single" w:sz="4" w:space="0" w:color="auto"/>
            </w:tcBorders>
            <w:vAlign w:val="center"/>
          </w:tcPr>
          <w:p w:rsidR="00CC15FE" w:rsidRDefault="00CC15FE" w:rsidP="003341B3">
            <w:pPr>
              <w:spacing w:beforeLines="50" w:before="156" w:afterLines="50" w:after="156" w:line="360" w:lineRule="auto"/>
              <w:jc w:val="center"/>
              <w:rPr>
                <w:rFonts w:ascii="宋体" w:hAnsi="宋体"/>
                <w:b/>
                <w:sz w:val="24"/>
              </w:rPr>
            </w:pPr>
            <w:r>
              <w:rPr>
                <w:rFonts w:ascii="宋体" w:hAnsi="宋体" w:hint="eastAsia"/>
                <w:b/>
                <w:sz w:val="24"/>
              </w:rPr>
              <w:t>序号</w:t>
            </w:r>
          </w:p>
        </w:tc>
        <w:tc>
          <w:tcPr>
            <w:tcW w:w="724" w:type="pct"/>
            <w:tcBorders>
              <w:top w:val="single" w:sz="4" w:space="0" w:color="auto"/>
              <w:left w:val="single" w:sz="4" w:space="0" w:color="auto"/>
              <w:bottom w:val="single" w:sz="4" w:space="0" w:color="auto"/>
              <w:right w:val="single" w:sz="4" w:space="0" w:color="auto"/>
            </w:tcBorders>
            <w:vAlign w:val="center"/>
          </w:tcPr>
          <w:p w:rsidR="00CC15FE" w:rsidRDefault="00CC15FE" w:rsidP="003341B3">
            <w:pPr>
              <w:spacing w:beforeLines="50" w:before="156" w:afterLines="50" w:after="156" w:line="360" w:lineRule="auto"/>
              <w:jc w:val="center"/>
              <w:rPr>
                <w:rFonts w:ascii="宋体" w:hAnsi="宋体"/>
                <w:b/>
                <w:sz w:val="24"/>
              </w:rPr>
            </w:pPr>
            <w:r>
              <w:rPr>
                <w:rFonts w:ascii="宋体" w:hAnsi="宋体" w:hint="eastAsia"/>
                <w:b/>
                <w:sz w:val="24"/>
              </w:rPr>
              <w:t>货物名称</w:t>
            </w:r>
          </w:p>
        </w:tc>
        <w:tc>
          <w:tcPr>
            <w:tcW w:w="724" w:type="pct"/>
            <w:tcBorders>
              <w:top w:val="single" w:sz="4" w:space="0" w:color="auto"/>
              <w:left w:val="single" w:sz="4" w:space="0" w:color="auto"/>
              <w:bottom w:val="single" w:sz="4" w:space="0" w:color="auto"/>
              <w:right w:val="single" w:sz="4" w:space="0" w:color="auto"/>
            </w:tcBorders>
            <w:vAlign w:val="center"/>
          </w:tcPr>
          <w:p w:rsidR="00CC15FE" w:rsidRDefault="00CC15FE" w:rsidP="003341B3">
            <w:pPr>
              <w:spacing w:beforeLines="50" w:before="156" w:afterLines="50" w:after="156" w:line="360" w:lineRule="auto"/>
              <w:jc w:val="center"/>
              <w:rPr>
                <w:rFonts w:ascii="宋体" w:hAnsi="宋体"/>
                <w:b/>
                <w:sz w:val="24"/>
              </w:rPr>
            </w:pPr>
            <w:r>
              <w:rPr>
                <w:rFonts w:ascii="宋体" w:hAnsi="宋体" w:hint="eastAsia"/>
                <w:b/>
                <w:sz w:val="24"/>
              </w:rPr>
              <w:t>暂定数量</w:t>
            </w:r>
          </w:p>
        </w:tc>
        <w:tc>
          <w:tcPr>
            <w:tcW w:w="3088" w:type="pct"/>
            <w:tcBorders>
              <w:top w:val="single" w:sz="4" w:space="0" w:color="auto"/>
              <w:left w:val="single" w:sz="4" w:space="0" w:color="auto"/>
              <w:bottom w:val="single" w:sz="4" w:space="0" w:color="auto"/>
              <w:right w:val="single" w:sz="4" w:space="0" w:color="auto"/>
            </w:tcBorders>
            <w:vAlign w:val="center"/>
          </w:tcPr>
          <w:p w:rsidR="00CC15FE" w:rsidRDefault="00CC15FE" w:rsidP="003341B3">
            <w:pPr>
              <w:spacing w:beforeLines="50" w:before="156" w:afterLines="50" w:after="156" w:line="360" w:lineRule="auto"/>
              <w:jc w:val="center"/>
              <w:rPr>
                <w:rFonts w:ascii="宋体" w:hAnsi="宋体"/>
                <w:b/>
                <w:sz w:val="24"/>
              </w:rPr>
            </w:pPr>
            <w:r>
              <w:rPr>
                <w:rFonts w:ascii="宋体" w:hAnsi="宋体" w:hint="eastAsia"/>
                <w:b/>
                <w:sz w:val="24"/>
              </w:rPr>
              <w:t>规格要求</w:t>
            </w:r>
          </w:p>
        </w:tc>
      </w:tr>
      <w:tr w:rsidR="00CC15FE" w:rsidTr="00257C1B">
        <w:trPr>
          <w:trHeight w:val="567"/>
        </w:trPr>
        <w:tc>
          <w:tcPr>
            <w:tcW w:w="463" w:type="pct"/>
            <w:tcBorders>
              <w:top w:val="single" w:sz="4" w:space="0" w:color="auto"/>
              <w:left w:val="single" w:sz="4" w:space="0" w:color="auto"/>
              <w:bottom w:val="single" w:sz="4" w:space="0" w:color="auto"/>
              <w:right w:val="single" w:sz="4" w:space="0" w:color="auto"/>
            </w:tcBorders>
            <w:vAlign w:val="center"/>
          </w:tcPr>
          <w:p w:rsidR="00CC15FE" w:rsidRDefault="00CC15FE" w:rsidP="003341B3">
            <w:pPr>
              <w:spacing w:beforeLines="50" w:before="156" w:afterLines="50" w:after="156" w:line="360" w:lineRule="auto"/>
              <w:jc w:val="center"/>
              <w:rPr>
                <w:rFonts w:ascii="宋体" w:hAnsi="宋体"/>
                <w:sz w:val="24"/>
              </w:rPr>
            </w:pPr>
            <w:r>
              <w:rPr>
                <w:rFonts w:ascii="宋体" w:hAnsi="宋体" w:hint="eastAsia"/>
                <w:sz w:val="24"/>
              </w:rPr>
              <w:t>1</w:t>
            </w:r>
          </w:p>
        </w:tc>
        <w:tc>
          <w:tcPr>
            <w:tcW w:w="724" w:type="pct"/>
            <w:tcBorders>
              <w:top w:val="single" w:sz="4" w:space="0" w:color="auto"/>
              <w:left w:val="single" w:sz="4" w:space="0" w:color="auto"/>
              <w:bottom w:val="single" w:sz="4" w:space="0" w:color="auto"/>
              <w:right w:val="single" w:sz="4" w:space="0" w:color="auto"/>
            </w:tcBorders>
            <w:vAlign w:val="center"/>
          </w:tcPr>
          <w:p w:rsidR="00CC15FE" w:rsidRDefault="00CC15FE" w:rsidP="003341B3">
            <w:pPr>
              <w:spacing w:beforeLines="50" w:before="156" w:afterLines="50" w:after="156" w:line="360" w:lineRule="auto"/>
              <w:jc w:val="center"/>
              <w:rPr>
                <w:rFonts w:ascii="宋体" w:hAnsi="宋体"/>
                <w:sz w:val="24"/>
              </w:rPr>
            </w:pPr>
            <w:r>
              <w:rPr>
                <w:rFonts w:ascii="宋体" w:hAnsi="宋体" w:hint="eastAsia"/>
                <w:sz w:val="24"/>
              </w:rPr>
              <w:t>蛋黄酥</w:t>
            </w:r>
          </w:p>
        </w:tc>
        <w:tc>
          <w:tcPr>
            <w:tcW w:w="724" w:type="pct"/>
            <w:tcBorders>
              <w:top w:val="single" w:sz="4" w:space="0" w:color="auto"/>
              <w:left w:val="single" w:sz="4" w:space="0" w:color="auto"/>
              <w:bottom w:val="single" w:sz="4" w:space="0" w:color="auto"/>
              <w:right w:val="single" w:sz="4" w:space="0" w:color="auto"/>
            </w:tcBorders>
            <w:vAlign w:val="center"/>
          </w:tcPr>
          <w:p w:rsidR="00CC15FE" w:rsidRDefault="00CC15FE" w:rsidP="00257C1B">
            <w:pPr>
              <w:spacing w:beforeLines="50" w:before="156" w:afterLines="50" w:after="156" w:line="360" w:lineRule="auto"/>
              <w:jc w:val="center"/>
              <w:rPr>
                <w:rFonts w:ascii="宋体" w:hAnsi="宋体"/>
                <w:sz w:val="24"/>
              </w:rPr>
            </w:pPr>
            <w:r>
              <w:rPr>
                <w:rFonts w:ascii="宋体" w:hAnsi="宋体" w:hint="eastAsia"/>
                <w:sz w:val="24"/>
              </w:rPr>
              <w:t>3</w:t>
            </w:r>
            <w:r w:rsidR="00257C1B">
              <w:rPr>
                <w:rFonts w:ascii="宋体" w:hAnsi="宋体" w:hint="eastAsia"/>
                <w:sz w:val="24"/>
              </w:rPr>
              <w:t>700</w:t>
            </w:r>
            <w:r>
              <w:rPr>
                <w:rFonts w:ascii="宋体" w:hAnsi="宋体" w:hint="eastAsia"/>
                <w:sz w:val="24"/>
              </w:rPr>
              <w:t>份</w:t>
            </w:r>
          </w:p>
        </w:tc>
        <w:tc>
          <w:tcPr>
            <w:tcW w:w="3088" w:type="pct"/>
            <w:tcBorders>
              <w:top w:val="single" w:sz="4" w:space="0" w:color="auto"/>
              <w:left w:val="single" w:sz="4" w:space="0" w:color="auto"/>
              <w:bottom w:val="single" w:sz="4" w:space="0" w:color="auto"/>
              <w:right w:val="single" w:sz="4" w:space="0" w:color="auto"/>
            </w:tcBorders>
            <w:vAlign w:val="center"/>
          </w:tcPr>
          <w:p w:rsidR="00CC15FE" w:rsidRDefault="00CC15FE" w:rsidP="003341B3">
            <w:pPr>
              <w:spacing w:beforeLines="50" w:before="156" w:afterLines="50" w:after="156" w:line="360" w:lineRule="auto"/>
              <w:jc w:val="left"/>
              <w:rPr>
                <w:rFonts w:ascii="宋体" w:hAnsi="宋体"/>
                <w:sz w:val="24"/>
              </w:rPr>
            </w:pPr>
            <w:r>
              <w:rPr>
                <w:rFonts w:ascii="宋体" w:hAnsi="宋体" w:hint="eastAsia"/>
                <w:sz w:val="24"/>
              </w:rPr>
              <w:t>（1）独立礼盒包装，礼盒精致漂亮方便携带；</w:t>
            </w:r>
          </w:p>
          <w:p w:rsidR="00CC15FE" w:rsidRDefault="00CC15FE" w:rsidP="003341B3">
            <w:pPr>
              <w:spacing w:beforeLines="50" w:before="156" w:afterLines="50" w:after="156" w:line="360" w:lineRule="auto"/>
              <w:jc w:val="left"/>
              <w:rPr>
                <w:rFonts w:ascii="宋体" w:hAnsi="宋体"/>
                <w:sz w:val="24"/>
              </w:rPr>
            </w:pPr>
            <w:r>
              <w:rPr>
                <w:rFonts w:ascii="宋体" w:hAnsi="宋体" w:hint="eastAsia"/>
                <w:sz w:val="24"/>
              </w:rPr>
              <w:t>（2）每盒蛋黄酥数量不少于10个；</w:t>
            </w:r>
          </w:p>
          <w:p w:rsidR="00CC15FE" w:rsidRDefault="00CC15FE" w:rsidP="003341B3">
            <w:pPr>
              <w:spacing w:beforeLines="50" w:before="156" w:afterLines="50" w:after="156" w:line="360" w:lineRule="auto"/>
              <w:jc w:val="left"/>
              <w:rPr>
                <w:rFonts w:ascii="宋体" w:hAnsi="宋体"/>
                <w:sz w:val="24"/>
              </w:rPr>
            </w:pPr>
            <w:r>
              <w:rPr>
                <w:rFonts w:ascii="宋体" w:hAnsi="宋体" w:hint="eastAsia"/>
                <w:sz w:val="24"/>
              </w:rPr>
              <w:t>（3）每个蛋黄酥克重不小于50g；</w:t>
            </w:r>
          </w:p>
          <w:p w:rsidR="00CC15FE" w:rsidRDefault="00CC15FE" w:rsidP="003341B3">
            <w:pPr>
              <w:spacing w:beforeLines="50" w:before="156" w:afterLines="50" w:after="156" w:line="360" w:lineRule="auto"/>
              <w:jc w:val="left"/>
              <w:rPr>
                <w:rFonts w:ascii="宋体" w:hAnsi="宋体"/>
                <w:sz w:val="24"/>
              </w:rPr>
            </w:pPr>
            <w:r>
              <w:rPr>
                <w:rFonts w:ascii="宋体" w:hAnsi="宋体" w:hint="eastAsia"/>
                <w:sz w:val="24"/>
              </w:rPr>
              <w:t>（4）每份中不同口味的蛋黄酥有2种及以上；</w:t>
            </w:r>
          </w:p>
          <w:p w:rsidR="00CC15FE" w:rsidRPr="004D09E6" w:rsidRDefault="00CC15FE" w:rsidP="003341B3">
            <w:pPr>
              <w:spacing w:beforeLines="50" w:before="156" w:afterLines="50" w:after="156" w:line="360" w:lineRule="auto"/>
              <w:jc w:val="left"/>
              <w:rPr>
                <w:rFonts w:ascii="宋体" w:hAnsi="宋体"/>
                <w:sz w:val="24"/>
              </w:rPr>
            </w:pPr>
            <w:r w:rsidRPr="004D09E6">
              <w:rPr>
                <w:rFonts w:ascii="宋体" w:hAnsi="宋体" w:hint="eastAsia"/>
                <w:b/>
                <w:sz w:val="24"/>
              </w:rPr>
              <w:t>▲（5）产品发放时剩余质保期不得少于35天；</w:t>
            </w:r>
          </w:p>
        </w:tc>
      </w:tr>
    </w:tbl>
    <w:p w:rsidR="00CC15FE" w:rsidRDefault="00CC15FE" w:rsidP="00CC15FE">
      <w:pPr>
        <w:spacing w:beforeLines="50" w:before="156" w:afterLines="50" w:after="156" w:line="360" w:lineRule="auto"/>
        <w:ind w:firstLine="495"/>
        <w:rPr>
          <w:rFonts w:ascii="宋体" w:hAnsi="宋体"/>
          <w:b/>
          <w:sz w:val="24"/>
        </w:rPr>
      </w:pPr>
      <w:r>
        <w:rPr>
          <w:rFonts w:ascii="宋体" w:hAnsi="宋体" w:hint="eastAsia"/>
          <w:b/>
          <w:sz w:val="24"/>
        </w:rPr>
        <w:t>三、采购要求</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1、供应商提供货物的品种、规格、包装数量以及其他要求不得低于采购需求；</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2、提供物品零售价清单及产品彩</w:t>
      </w:r>
      <w:bookmarkStart w:id="0" w:name="_GoBack"/>
      <w:bookmarkEnd w:id="0"/>
      <w:r>
        <w:rPr>
          <w:rFonts w:ascii="宋体" w:hAnsi="宋体" w:hint="eastAsia"/>
          <w:sz w:val="24"/>
        </w:rPr>
        <w:t>页等资料；</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3、采购数量会有适当调整，以采购人实际需要为准；</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4、质量和卫生标准</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lastRenderedPageBreak/>
        <w:t>符合食品安全国家标准及食品卫生标准。</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5、验收标准</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（1）采购需求关于产品标准的约定；</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（2）合同双方约定的产品规格、技术标准、卫生要求（不得违背采购需求）；</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（3）国家相关法律规定的要求作为验收要求。</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6、储存和运输</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应使用符合卫生要求的运输工具和容器，运输过程中应注意防止雨淋和被污染。</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7、其他事项</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（1）供应商必须按照约定配送时间与数量送货，当出现送货异常时，必须在第一时间告知采购人，并采取应急措施。若出现配送不及时，采购人可对供应商作200-2000元的赔偿。</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2）供应商必须严格按照《中华人民共和国食品安全法》等法律法规及国家标准的要求，为采购人提供安全产品，并确保产品质量满足约定要求。若出现安全指标检测不达标，采购人可根据安全风险程度与实际情形，对供应商作20000-40000</w:t>
      </w:r>
      <w:r w:rsidR="00257C1B">
        <w:rPr>
          <w:rFonts w:ascii="宋体" w:hAnsi="宋体" w:hint="eastAsia"/>
          <w:sz w:val="24"/>
        </w:rPr>
        <w:t>元的违约赔偿</w:t>
      </w:r>
      <w:r>
        <w:rPr>
          <w:rFonts w:ascii="宋体" w:hAnsi="宋体" w:hint="eastAsia"/>
          <w:sz w:val="24"/>
        </w:rPr>
        <w:t>，或终止合同处理；对质量不达标或不符合预包装食品及索证索票要求的情形，可作1000-2000元的违约赔偿处理，严重的可终止合同。</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3）若合同期内发现供应商在税务票据、货款结算、社保税收缴纳、廉政建设等方面存在违法违规，或出现因产品安全质量、企业信誉和经营管理等方面问题被政府或媒体曝光等情形时，采购人有权立即终止合同，同时供应商须无条件赔偿采购人相应损失。</w:t>
      </w:r>
    </w:p>
    <w:p w:rsidR="00CC15FE" w:rsidRDefault="00CC15FE" w:rsidP="00CC15FE">
      <w:pPr>
        <w:spacing w:beforeLines="50" w:before="156" w:afterLines="50" w:after="156" w:line="360" w:lineRule="auto"/>
        <w:ind w:firstLine="495"/>
        <w:rPr>
          <w:rFonts w:ascii="宋体" w:hAnsi="宋体"/>
          <w:sz w:val="24"/>
        </w:rPr>
      </w:pPr>
      <w:r>
        <w:rPr>
          <w:rFonts w:ascii="宋体" w:hAnsi="宋体" w:hint="eastAsia"/>
          <w:sz w:val="24"/>
        </w:rPr>
        <w:t>（4）若供应商在合同期内放弃合同义务，采购人可对供应商作违约赔偿处理（</w:t>
      </w:r>
      <w:r w:rsidR="00257C1B">
        <w:rPr>
          <w:rFonts w:ascii="宋体" w:hAnsi="宋体" w:hint="eastAsia"/>
          <w:sz w:val="24"/>
        </w:rPr>
        <w:t>供应商支付合同总价</w:t>
      </w:r>
      <w:r>
        <w:rPr>
          <w:rFonts w:ascii="宋体" w:hAnsi="宋体" w:hint="eastAsia"/>
          <w:sz w:val="24"/>
        </w:rPr>
        <w:t>5%</w:t>
      </w:r>
      <w:r w:rsidR="00257C1B">
        <w:rPr>
          <w:rFonts w:ascii="宋体" w:hAnsi="宋体" w:hint="eastAsia"/>
          <w:sz w:val="24"/>
        </w:rPr>
        <w:t>的违约金</w:t>
      </w:r>
      <w:r w:rsidR="0049400F">
        <w:rPr>
          <w:rFonts w:ascii="宋体" w:hAnsi="宋体" w:hint="eastAsia"/>
          <w:sz w:val="24"/>
        </w:rPr>
        <w:t>），造成损失</w:t>
      </w:r>
      <w:r w:rsidR="00257C1B">
        <w:rPr>
          <w:rFonts w:ascii="宋体" w:hAnsi="宋体" w:hint="eastAsia"/>
          <w:sz w:val="24"/>
        </w:rPr>
        <w:t>超过违约金的，超出部分由供应商继续承担</w:t>
      </w:r>
      <w:r>
        <w:rPr>
          <w:rFonts w:ascii="宋体" w:hAnsi="宋体" w:hint="eastAsia"/>
          <w:sz w:val="24"/>
        </w:rPr>
        <w:t>赔偿</w:t>
      </w:r>
      <w:r w:rsidR="00257C1B">
        <w:rPr>
          <w:rFonts w:ascii="宋体" w:hAnsi="宋体" w:hint="eastAsia"/>
          <w:sz w:val="24"/>
        </w:rPr>
        <w:t>责任</w:t>
      </w:r>
      <w:r>
        <w:rPr>
          <w:rFonts w:ascii="宋体" w:hAnsi="宋体" w:hint="eastAsia"/>
          <w:sz w:val="24"/>
        </w:rPr>
        <w:t>。</w:t>
      </w:r>
    </w:p>
    <w:p w:rsidR="00CC15FE" w:rsidRPr="00B47F31" w:rsidRDefault="00CC15FE" w:rsidP="00CC15FE">
      <w:pPr>
        <w:spacing w:beforeLines="50" w:before="156" w:afterLines="50" w:after="156" w:line="360" w:lineRule="auto"/>
        <w:ind w:firstLine="495"/>
        <w:rPr>
          <w:rFonts w:ascii="宋体" w:hAnsi="宋体"/>
          <w:sz w:val="24"/>
        </w:rPr>
      </w:pPr>
      <w:r w:rsidRPr="00B47F31">
        <w:rPr>
          <w:rFonts w:ascii="宋体" w:hAnsi="宋体" w:hint="eastAsia"/>
          <w:sz w:val="24"/>
        </w:rPr>
        <w:lastRenderedPageBreak/>
        <w:t>（5）供货单位按照供货</w:t>
      </w:r>
      <w:r w:rsidR="00A533C6" w:rsidRPr="00B47F31">
        <w:rPr>
          <w:rFonts w:ascii="宋体" w:hAnsi="宋体" w:hint="eastAsia"/>
          <w:sz w:val="24"/>
        </w:rPr>
        <w:t>协议</w:t>
      </w:r>
      <w:r w:rsidRPr="00B47F31">
        <w:rPr>
          <w:rFonts w:ascii="宋体" w:hAnsi="宋体" w:hint="eastAsia"/>
          <w:sz w:val="24"/>
        </w:rPr>
        <w:t>规定的质量标准进行配送，若其出现严重违反《中华人民共和国食品安全法》的行为，或在成交后出现无实</w:t>
      </w:r>
      <w:r w:rsidR="0049400F" w:rsidRPr="00B47F31">
        <w:rPr>
          <w:rFonts w:ascii="宋体" w:hAnsi="宋体" w:hint="eastAsia"/>
          <w:sz w:val="24"/>
        </w:rPr>
        <w:t>际配送能力等情形时，采购人有权</w:t>
      </w:r>
      <w:r w:rsidR="00A533C6" w:rsidRPr="00B47F31">
        <w:rPr>
          <w:rFonts w:ascii="宋体" w:hAnsi="宋体" w:hint="eastAsia"/>
          <w:sz w:val="24"/>
        </w:rPr>
        <w:t>取消其配送协议</w:t>
      </w:r>
      <w:r w:rsidR="00257C1B" w:rsidRPr="00B47F31">
        <w:rPr>
          <w:rFonts w:ascii="宋体" w:hAnsi="宋体" w:hint="eastAsia"/>
          <w:sz w:val="24"/>
        </w:rPr>
        <w:t>。</w:t>
      </w:r>
    </w:p>
    <w:p w:rsidR="00CC15FE" w:rsidRPr="00B47F31" w:rsidRDefault="00CC15FE" w:rsidP="00CC15FE">
      <w:pPr>
        <w:spacing w:beforeLines="50" w:before="156" w:afterLines="50" w:after="156" w:line="360" w:lineRule="auto"/>
        <w:ind w:firstLine="495"/>
        <w:rPr>
          <w:rFonts w:ascii="宋体" w:hAnsi="宋体"/>
          <w:sz w:val="24"/>
        </w:rPr>
      </w:pPr>
      <w:r w:rsidRPr="00B47F31">
        <w:rPr>
          <w:rFonts w:ascii="宋体" w:hAnsi="宋体" w:hint="eastAsia"/>
          <w:sz w:val="24"/>
        </w:rPr>
        <w:t>（6）供应商在配送过程中，由于产品质量、配送服务等原因导致履约合同能力不够，采购人有权终止合同。</w:t>
      </w:r>
    </w:p>
    <w:p w:rsidR="00CC15FE" w:rsidRDefault="00CC15FE" w:rsidP="00CC15FE">
      <w:pPr>
        <w:tabs>
          <w:tab w:val="left" w:pos="2260"/>
        </w:tabs>
        <w:spacing w:beforeLines="50" w:before="156" w:afterLines="50" w:after="156" w:line="360" w:lineRule="auto"/>
        <w:ind w:firstLine="495"/>
        <w:rPr>
          <w:rFonts w:ascii="宋体" w:hAnsi="宋体"/>
          <w:b/>
          <w:sz w:val="24"/>
        </w:rPr>
      </w:pPr>
      <w:r>
        <w:rPr>
          <w:rFonts w:ascii="宋体" w:hAnsi="宋体" w:hint="eastAsia"/>
          <w:b/>
          <w:sz w:val="24"/>
        </w:rPr>
        <w:t>四、报价要求</w:t>
      </w:r>
    </w:p>
    <w:p w:rsidR="00CC15FE" w:rsidRDefault="00CC15FE" w:rsidP="00CC15FE">
      <w:pPr>
        <w:adjustRightInd w:val="0"/>
        <w:snapToGrid w:val="0"/>
        <w:spacing w:line="360" w:lineRule="auto"/>
        <w:ind w:leftChars="50" w:left="105" w:firstLineChars="150" w:firstLine="360"/>
        <w:rPr>
          <w:rFonts w:ascii="宋体" w:hAnsi="宋体"/>
          <w:sz w:val="24"/>
        </w:rPr>
      </w:pPr>
      <w:r>
        <w:rPr>
          <w:rFonts w:ascii="宋体" w:hAnsi="宋体" w:hint="eastAsia"/>
          <w:sz w:val="24"/>
        </w:rPr>
        <w:t>1、报价为完成本项目的一切费用；包括货物采购、供货、配送及发放、利润、税金以及出现产品质量问题无条件退换，并承担产品质量问题的一切责任等。</w:t>
      </w:r>
    </w:p>
    <w:p w:rsidR="00CC15FE" w:rsidRDefault="00CC15FE" w:rsidP="00CC15FE">
      <w:pPr>
        <w:spacing w:beforeLines="50" w:before="156" w:afterLines="50" w:after="156" w:line="360" w:lineRule="auto"/>
        <w:ind w:firstLine="495"/>
        <w:rPr>
          <w:rFonts w:ascii="宋体" w:hAnsi="宋体"/>
          <w:b/>
          <w:sz w:val="24"/>
        </w:rPr>
      </w:pPr>
      <w:r>
        <w:rPr>
          <w:rFonts w:ascii="宋体" w:hAnsi="宋体" w:hint="eastAsia"/>
          <w:b/>
          <w:sz w:val="24"/>
        </w:rPr>
        <w:t>五、其他要求</w:t>
      </w:r>
    </w:p>
    <w:p w:rsidR="00CC15FE" w:rsidRDefault="00CC15FE" w:rsidP="00CC15FE">
      <w:pPr>
        <w:adjustRightInd w:val="0"/>
        <w:snapToGrid w:val="0"/>
        <w:spacing w:line="360" w:lineRule="auto"/>
        <w:ind w:leftChars="50" w:left="105" w:firstLineChars="150" w:firstLine="360"/>
        <w:rPr>
          <w:rFonts w:ascii="宋体" w:hAnsi="宋体"/>
          <w:sz w:val="24"/>
        </w:rPr>
      </w:pPr>
      <w:r>
        <w:rPr>
          <w:rFonts w:ascii="宋体" w:hAnsi="宋体" w:hint="eastAsia"/>
          <w:sz w:val="24"/>
        </w:rPr>
        <w:t>1</w:t>
      </w:r>
      <w:r w:rsidR="00C73969">
        <w:rPr>
          <w:rFonts w:ascii="宋体" w:hAnsi="宋体" w:hint="eastAsia"/>
          <w:sz w:val="24"/>
        </w:rPr>
        <w:t>、调研</w:t>
      </w:r>
      <w:r>
        <w:rPr>
          <w:rFonts w:ascii="宋体" w:hAnsi="宋体" w:hint="eastAsia"/>
          <w:sz w:val="24"/>
        </w:rPr>
        <w:t>时需提供每份蛋黄酥样品1份，样品上包装袋上以合理形式标明供应商名称。</w:t>
      </w:r>
      <w:r w:rsidR="00C73969">
        <w:rPr>
          <w:rFonts w:ascii="宋体" w:hAnsi="宋体" w:hint="eastAsia"/>
          <w:sz w:val="24"/>
        </w:rPr>
        <w:t>调研</w:t>
      </w:r>
      <w:r>
        <w:rPr>
          <w:rFonts w:ascii="宋体" w:hAnsi="宋体" w:hint="eastAsia"/>
          <w:sz w:val="24"/>
        </w:rPr>
        <w:t>结束后，所有的供应商样品不再退回。</w:t>
      </w:r>
    </w:p>
    <w:p w:rsidR="00CC15FE" w:rsidRDefault="00CC15FE" w:rsidP="00CC15FE">
      <w:pPr>
        <w:adjustRightInd w:val="0"/>
        <w:snapToGrid w:val="0"/>
        <w:spacing w:line="360" w:lineRule="auto"/>
        <w:ind w:leftChars="50" w:left="105" w:firstLineChars="150" w:firstLine="361"/>
        <w:rPr>
          <w:rFonts w:ascii="宋体" w:hAnsi="宋体"/>
          <w:sz w:val="24"/>
        </w:rPr>
      </w:pPr>
      <w:r w:rsidRPr="004D09E6">
        <w:rPr>
          <w:rFonts w:ascii="宋体" w:hAnsi="宋体" w:hint="eastAsia"/>
          <w:b/>
          <w:sz w:val="24"/>
        </w:rPr>
        <w:t>▲</w:t>
      </w:r>
      <w:r>
        <w:rPr>
          <w:rFonts w:ascii="宋体" w:hAnsi="宋体" w:hint="eastAsia"/>
          <w:sz w:val="24"/>
        </w:rPr>
        <w:t>2、要求供应商派充足工作人员至现场按采购人要求完成福利的发放工作。</w:t>
      </w:r>
    </w:p>
    <w:p w:rsidR="00CC15FE" w:rsidRPr="004D09E6" w:rsidRDefault="00CC15FE" w:rsidP="00CC15FE">
      <w:pPr>
        <w:adjustRightInd w:val="0"/>
        <w:snapToGrid w:val="0"/>
        <w:spacing w:line="360" w:lineRule="auto"/>
        <w:ind w:leftChars="50" w:left="105" w:firstLineChars="150" w:firstLine="361"/>
        <w:rPr>
          <w:rFonts w:ascii="宋体" w:hAnsi="宋体"/>
          <w:b/>
          <w:sz w:val="24"/>
        </w:rPr>
      </w:pPr>
      <w:r w:rsidRPr="004D09E6">
        <w:rPr>
          <w:rFonts w:ascii="宋体" w:hAnsi="宋体" w:hint="eastAsia"/>
          <w:b/>
          <w:sz w:val="24"/>
        </w:rPr>
        <w:t>六、货款结算</w:t>
      </w:r>
    </w:p>
    <w:p w:rsidR="00CC15FE" w:rsidRDefault="00CC15FE" w:rsidP="00CC15FE">
      <w:pPr>
        <w:adjustRightInd w:val="0"/>
        <w:snapToGrid w:val="0"/>
        <w:spacing w:line="360" w:lineRule="auto"/>
        <w:ind w:leftChars="50" w:left="105" w:firstLineChars="150" w:firstLine="360"/>
        <w:rPr>
          <w:rFonts w:ascii="宋体" w:hAnsi="宋体"/>
          <w:sz w:val="24"/>
        </w:rPr>
      </w:pPr>
      <w:r>
        <w:rPr>
          <w:rFonts w:ascii="宋体" w:hAnsi="宋体" w:hint="eastAsia"/>
          <w:sz w:val="24"/>
        </w:rPr>
        <w:t>合同签订后，收到发票2个月内按照实际采购数量结算。</w:t>
      </w:r>
    </w:p>
    <w:p w:rsidR="00CC15FE" w:rsidRDefault="00CC15FE" w:rsidP="00CC15FE">
      <w:pPr>
        <w:adjustRightInd w:val="0"/>
        <w:snapToGrid w:val="0"/>
        <w:spacing w:line="360" w:lineRule="auto"/>
        <w:ind w:leftChars="50" w:left="105" w:firstLineChars="150" w:firstLine="360"/>
        <w:rPr>
          <w:rFonts w:ascii="宋体" w:hAnsi="宋体"/>
          <w:sz w:val="24"/>
        </w:rPr>
      </w:pPr>
    </w:p>
    <w:p w:rsidR="00CC15FE" w:rsidRDefault="00CC15FE" w:rsidP="00CC15FE">
      <w:pPr>
        <w:adjustRightInd w:val="0"/>
        <w:snapToGrid w:val="0"/>
        <w:spacing w:line="360" w:lineRule="auto"/>
        <w:ind w:leftChars="50" w:left="105" w:firstLineChars="150" w:firstLine="360"/>
        <w:rPr>
          <w:rFonts w:ascii="宋体" w:hAnsi="宋体"/>
          <w:sz w:val="24"/>
        </w:rPr>
      </w:pPr>
    </w:p>
    <w:p w:rsidR="00CC15FE" w:rsidRDefault="00CC15FE" w:rsidP="00CC15FE">
      <w:pPr>
        <w:adjustRightInd w:val="0"/>
        <w:snapToGrid w:val="0"/>
        <w:spacing w:line="360" w:lineRule="auto"/>
        <w:ind w:leftChars="50" w:left="105" w:firstLineChars="150" w:firstLine="360"/>
        <w:rPr>
          <w:rFonts w:ascii="宋体" w:hAnsi="宋体"/>
          <w:sz w:val="24"/>
        </w:rPr>
      </w:pPr>
    </w:p>
    <w:p w:rsidR="00CC15FE" w:rsidRDefault="00CC15FE" w:rsidP="00CC15FE"/>
    <w:p w:rsidR="00627076" w:rsidRPr="00CC15FE" w:rsidRDefault="00627076"/>
    <w:sectPr w:rsidR="00627076" w:rsidRPr="00CC15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78D" w:rsidRDefault="0079678D" w:rsidP="00CC15FE">
      <w:r>
        <w:separator/>
      </w:r>
    </w:p>
  </w:endnote>
  <w:endnote w:type="continuationSeparator" w:id="0">
    <w:p w:rsidR="0079678D" w:rsidRDefault="0079678D" w:rsidP="00CC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78D" w:rsidRDefault="0079678D" w:rsidP="00CC15FE">
      <w:r>
        <w:separator/>
      </w:r>
    </w:p>
  </w:footnote>
  <w:footnote w:type="continuationSeparator" w:id="0">
    <w:p w:rsidR="0079678D" w:rsidRDefault="0079678D" w:rsidP="00CC1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DBC"/>
    <w:rsid w:val="00067DBC"/>
    <w:rsid w:val="00232A80"/>
    <w:rsid w:val="00257C1B"/>
    <w:rsid w:val="0049400F"/>
    <w:rsid w:val="00627076"/>
    <w:rsid w:val="0079678D"/>
    <w:rsid w:val="00A533C6"/>
    <w:rsid w:val="00B47F31"/>
    <w:rsid w:val="00C73969"/>
    <w:rsid w:val="00CC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5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15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C15FE"/>
    <w:rPr>
      <w:sz w:val="18"/>
      <w:szCs w:val="18"/>
    </w:rPr>
  </w:style>
  <w:style w:type="paragraph" w:styleId="a4">
    <w:name w:val="footer"/>
    <w:basedOn w:val="a"/>
    <w:link w:val="Char0"/>
    <w:uiPriority w:val="99"/>
    <w:unhideWhenUsed/>
    <w:rsid w:val="00CC15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C15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5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15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C15FE"/>
    <w:rPr>
      <w:sz w:val="18"/>
      <w:szCs w:val="18"/>
    </w:rPr>
  </w:style>
  <w:style w:type="paragraph" w:styleId="a4">
    <w:name w:val="footer"/>
    <w:basedOn w:val="a"/>
    <w:link w:val="Char0"/>
    <w:uiPriority w:val="99"/>
    <w:unhideWhenUsed/>
    <w:rsid w:val="00CC15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C15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wl</cp:lastModifiedBy>
  <cp:revision>6</cp:revision>
  <dcterms:created xsi:type="dcterms:W3CDTF">2022-07-07T10:04:00Z</dcterms:created>
  <dcterms:modified xsi:type="dcterms:W3CDTF">2023-06-28T07:26:00Z</dcterms:modified>
</cp:coreProperties>
</file>