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55" w:rsidRDefault="00B93055" w:rsidP="00B93055">
      <w:pPr>
        <w:spacing w:line="360" w:lineRule="auto"/>
        <w:jc w:val="center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浙江省级媒体宣传采购服务需求</w:t>
      </w:r>
    </w:p>
    <w:p w:rsidR="00B93055" w:rsidRDefault="00B93055" w:rsidP="00B93055">
      <w:pPr>
        <w:pStyle w:val="a5"/>
        <w:spacing w:line="360" w:lineRule="auto"/>
        <w:ind w:firstLineChars="0" w:firstLine="0"/>
        <w:jc w:val="left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一、项目概况</w:t>
      </w:r>
    </w:p>
    <w:p w:rsidR="00B93055" w:rsidRPr="00B93055" w:rsidRDefault="00B93055" w:rsidP="00B93055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 w:rsidRPr="00B93055">
        <w:rPr>
          <w:rFonts w:ascii="宋体" w:hAnsi="宋体" w:hint="eastAsia"/>
          <w:color w:val="000000"/>
          <w:sz w:val="24"/>
          <w:szCs w:val="24"/>
        </w:rPr>
        <w:t>为提升医院品牌形象，扩大医院知名度和美誉度，浙江大学医学院附属儿童医院将与浙江省级纸</w:t>
      </w:r>
      <w:proofErr w:type="gramStart"/>
      <w:r w:rsidRPr="00B93055">
        <w:rPr>
          <w:rFonts w:ascii="宋体" w:hAnsi="宋体" w:hint="eastAsia"/>
          <w:color w:val="000000"/>
          <w:sz w:val="24"/>
          <w:szCs w:val="24"/>
        </w:rPr>
        <w:t>媒服务</w:t>
      </w:r>
      <w:proofErr w:type="gramEnd"/>
      <w:r w:rsidRPr="00B93055">
        <w:rPr>
          <w:rFonts w:ascii="宋体" w:hAnsi="宋体" w:hint="eastAsia"/>
          <w:color w:val="000000"/>
          <w:sz w:val="24"/>
          <w:szCs w:val="24"/>
        </w:rPr>
        <w:t>商开展战略合作，通过宣传报道，进一步扩大医院影响力。</w:t>
      </w:r>
    </w:p>
    <w:p w:rsidR="00B93055" w:rsidRPr="00B93055" w:rsidRDefault="00B93055" w:rsidP="00B93055">
      <w:pPr>
        <w:pStyle w:val="a5"/>
        <w:spacing w:line="360" w:lineRule="auto"/>
        <w:ind w:firstLineChars="0" w:firstLine="0"/>
        <w:jc w:val="left"/>
        <w:rPr>
          <w:rFonts w:ascii="宋体" w:hAnsi="宋体"/>
          <w:b/>
          <w:color w:val="000000"/>
          <w:sz w:val="24"/>
          <w:szCs w:val="24"/>
        </w:rPr>
      </w:pPr>
      <w:r w:rsidRPr="00B93055">
        <w:rPr>
          <w:rFonts w:ascii="宋体" w:hAnsi="宋体" w:hint="eastAsia"/>
          <w:b/>
          <w:color w:val="000000"/>
          <w:sz w:val="24"/>
          <w:szCs w:val="24"/>
        </w:rPr>
        <w:t>二、</w:t>
      </w:r>
      <w:r>
        <w:rPr>
          <w:rFonts w:ascii="宋体" w:hAnsi="宋体" w:hint="eastAsia"/>
          <w:b/>
          <w:color w:val="000000"/>
          <w:sz w:val="24"/>
          <w:szCs w:val="24"/>
        </w:rPr>
        <w:t>项目需求</w:t>
      </w:r>
    </w:p>
    <w:p w:rsidR="00B93055" w:rsidRPr="004E568B" w:rsidRDefault="00B93055" w:rsidP="00B93055">
      <w:pPr>
        <w:pStyle w:val="a5"/>
        <w:spacing w:line="360" w:lineRule="auto"/>
        <w:ind w:firstLine="480"/>
        <w:jc w:val="left"/>
      </w:pPr>
      <w:r>
        <w:rPr>
          <w:rFonts w:ascii="宋体" w:hAnsi="宋体" w:hint="eastAsia"/>
          <w:color w:val="000000"/>
          <w:sz w:val="24"/>
          <w:szCs w:val="24"/>
        </w:rPr>
        <w:t>1、对报道内容精心策划，需要在省级及以上平台组建网络专题，</w:t>
      </w:r>
      <w:r>
        <w:rPr>
          <w:rFonts w:hint="eastAsia"/>
        </w:rPr>
        <w:t>开展</w:t>
      </w:r>
      <w:r>
        <w:rPr>
          <w:rFonts w:hint="eastAsia"/>
        </w:rPr>
        <w:t>25</w:t>
      </w:r>
      <w:r>
        <w:rPr>
          <w:rFonts w:hint="eastAsia"/>
        </w:rPr>
        <w:t>期以上分类别宣传。同时通过</w:t>
      </w:r>
      <w:r>
        <w:rPr>
          <w:rFonts w:hint="eastAsia"/>
        </w:rPr>
        <w:t>A</w:t>
      </w:r>
      <w:r>
        <w:t>PP</w:t>
      </w:r>
      <w:r>
        <w:rPr>
          <w:rFonts w:hint="eastAsia"/>
        </w:rPr>
        <w:t>、纸媒等平台进行进一步宣传和推广，将短视频传递给更多的家长和患儿。</w:t>
      </w:r>
      <w:r>
        <w:rPr>
          <w:rFonts w:ascii="宋体" w:hAnsi="宋体" w:hint="eastAsia"/>
          <w:color w:val="000000"/>
          <w:sz w:val="24"/>
          <w:szCs w:val="24"/>
        </w:rPr>
        <w:t>宣传方向由采购人提出，项目需配备</w:t>
      </w:r>
      <w:r>
        <w:rPr>
          <w:rFonts w:ascii="宋体" w:hAnsi="宋体"/>
          <w:color w:val="000000"/>
          <w:sz w:val="24"/>
          <w:szCs w:val="24"/>
        </w:rPr>
        <w:t>1</w:t>
      </w:r>
      <w:r>
        <w:rPr>
          <w:rFonts w:ascii="宋体" w:hAnsi="宋体" w:hint="eastAsia"/>
          <w:color w:val="000000"/>
          <w:sz w:val="24"/>
          <w:szCs w:val="24"/>
        </w:rPr>
        <w:t>位（含）以上有能力独立完成本项目撰稿任务的记者及一位资深编辑。</w:t>
      </w:r>
    </w:p>
    <w:p w:rsidR="00B93055" w:rsidRDefault="00B93055" w:rsidP="00B93055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2、本项目旨在扩大医院影响力，</w:t>
      </w:r>
      <w:r>
        <w:rPr>
          <w:rFonts w:ascii="宋体" w:hAnsi="宋体" w:hint="eastAsia"/>
          <w:sz w:val="24"/>
          <w:szCs w:val="21"/>
        </w:rPr>
        <w:t>版面刊登内容围绕浙江大学医学院附属儿童医院相关宣传主题展开。</w:t>
      </w:r>
      <w:r>
        <w:rPr>
          <w:rFonts w:ascii="宋体" w:hAnsi="宋体" w:hint="eastAsia"/>
          <w:color w:val="000000"/>
          <w:sz w:val="24"/>
          <w:szCs w:val="24"/>
        </w:rPr>
        <w:t>严禁使用任何可能对医院及医患关系有负面影响的言论。</w:t>
      </w:r>
    </w:p>
    <w:p w:rsidR="00B93055" w:rsidRDefault="00B93055" w:rsidP="00B93055">
      <w:pPr>
        <w:pStyle w:val="a5"/>
        <w:spacing w:line="360" w:lineRule="auto"/>
        <w:ind w:firstLine="480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3、宣传内容需经采购人确认后发布。</w:t>
      </w:r>
    </w:p>
    <w:p w:rsidR="00B93055" w:rsidRDefault="00B93055" w:rsidP="00B93055">
      <w:pPr>
        <w:pStyle w:val="a5"/>
        <w:spacing w:line="360" w:lineRule="auto"/>
        <w:ind w:firstLine="480"/>
        <w:jc w:val="left"/>
        <w:rPr>
          <w:rFonts w:hAnsi="宋体"/>
          <w:sz w:val="24"/>
          <w:szCs w:val="21"/>
        </w:rPr>
      </w:pPr>
      <w:r>
        <w:rPr>
          <w:rFonts w:hAnsi="宋体" w:hint="eastAsia"/>
          <w:sz w:val="24"/>
          <w:szCs w:val="21"/>
        </w:rPr>
        <w:t>4</w:t>
      </w:r>
      <w:r>
        <w:rPr>
          <w:rFonts w:hAnsi="宋体" w:hint="eastAsia"/>
          <w:sz w:val="24"/>
          <w:szCs w:val="21"/>
        </w:rPr>
        <w:t>、发布时间：</w:t>
      </w:r>
      <w:r>
        <w:rPr>
          <w:rFonts w:hAnsi="宋体" w:hint="eastAsia"/>
          <w:sz w:val="24"/>
        </w:rPr>
        <w:t>供应</w:t>
      </w:r>
      <w:proofErr w:type="gramStart"/>
      <w:r>
        <w:rPr>
          <w:rFonts w:hAnsi="宋体" w:hint="eastAsia"/>
          <w:sz w:val="24"/>
        </w:rPr>
        <w:t>商接到</w:t>
      </w:r>
      <w:proofErr w:type="gramEnd"/>
      <w:r>
        <w:rPr>
          <w:rFonts w:hAnsi="宋体" w:hint="eastAsia"/>
          <w:sz w:val="24"/>
        </w:rPr>
        <w:t>采购人通知后，</w:t>
      </w:r>
      <w:r>
        <w:rPr>
          <w:rFonts w:hAnsi="宋体" w:hint="eastAsia"/>
          <w:sz w:val="24"/>
        </w:rPr>
        <w:t>7</w:t>
      </w:r>
      <w:r>
        <w:rPr>
          <w:rFonts w:hAnsi="宋体" w:hint="eastAsia"/>
          <w:sz w:val="24"/>
        </w:rPr>
        <w:t>天内完成撰稿并通过采购人审核后完成发布。</w:t>
      </w:r>
    </w:p>
    <w:p w:rsidR="00B93055" w:rsidRDefault="00B93055" w:rsidP="00B93055">
      <w:pPr>
        <w:adjustRightInd w:val="0"/>
        <w:snapToGrid w:val="0"/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>三、其它</w:t>
      </w:r>
    </w:p>
    <w:p w:rsidR="00B93055" w:rsidRDefault="00B93055" w:rsidP="00B93055">
      <w:pPr>
        <w:adjustRightInd w:val="0"/>
        <w:snapToGrid w:val="0"/>
        <w:spacing w:line="360" w:lineRule="auto"/>
        <w:ind w:firstLineChars="196" w:firstLine="47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本项目为总体采购，成交后按实际执行情况支付。报价为完成采购范围所需的一切费用，应包括材料费、版面费和制作视频、采写稿件等人工费、运输费、保险费、税金、合理的利润以及其他需要发生或可能发生的所有费用。报价一览表详见附件。</w:t>
      </w: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pacing w:line="360" w:lineRule="auto"/>
        <w:jc w:val="left"/>
        <w:rPr>
          <w:rFonts w:ascii="宋体" w:hAnsi="宋体"/>
          <w:color w:val="000000"/>
          <w:sz w:val="24"/>
          <w:szCs w:val="24"/>
        </w:rPr>
      </w:pPr>
    </w:p>
    <w:p w:rsidR="00B93055" w:rsidRDefault="00B93055" w:rsidP="00B93055">
      <w:pPr>
        <w:snapToGrid w:val="0"/>
        <w:spacing w:before="50" w:after="50" w:line="360" w:lineRule="auto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lastRenderedPageBreak/>
        <w:t>附件：报价一览表</w:t>
      </w:r>
    </w:p>
    <w:p w:rsidR="00B93055" w:rsidRDefault="00B93055" w:rsidP="00B93055">
      <w:pPr>
        <w:snapToGrid w:val="0"/>
        <w:spacing w:before="50" w:after="50" w:line="360" w:lineRule="auto"/>
        <w:jc w:val="center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b/>
          <w:sz w:val="32"/>
          <w:szCs w:val="32"/>
        </w:rPr>
        <w:t>报价一览表</w:t>
      </w:r>
    </w:p>
    <w:p w:rsidR="00B93055" w:rsidRDefault="00B93055" w:rsidP="00B9305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2074"/>
        <w:gridCol w:w="1936"/>
        <w:gridCol w:w="1936"/>
        <w:gridCol w:w="1933"/>
      </w:tblGrid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版面尺寸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单价（元）</w:t>
            </w: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整版版面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1/2</w:t>
            </w:r>
            <w:r>
              <w:rPr>
                <w:rFonts w:ascii="宋体" w:hAnsi="宋体" w:hint="eastAsia"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1/4</w:t>
            </w:r>
            <w:r>
              <w:rPr>
                <w:rFonts w:ascii="宋体" w:hAnsi="宋体" w:hint="eastAsia"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1/8</w:t>
            </w:r>
            <w:r>
              <w:rPr>
                <w:rFonts w:ascii="宋体" w:hAnsi="宋体" w:hint="eastAsia"/>
                <w:sz w:val="24"/>
              </w:rPr>
              <w:t>版面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项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省级主流APP</w:t>
            </w:r>
            <w:r>
              <w:rPr>
                <w:rFonts w:ascii="宋体" w:hAnsi="宋体"/>
                <w:sz w:val="24"/>
              </w:rPr>
              <w:t>（短视频）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25期</w:t>
            </w:r>
            <w:r>
              <w:rPr>
                <w:rFonts w:ascii="宋体" w:hAnsi="宋体" w:cs="Times New Roman"/>
                <w:kern w:val="0"/>
                <w:szCs w:val="21"/>
              </w:rPr>
              <w:t>（共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100条</w:t>
            </w:r>
            <w:r>
              <w:rPr>
                <w:rFonts w:ascii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25期</w:t>
            </w:r>
            <w:r>
              <w:rPr>
                <w:rFonts w:ascii="宋体" w:hAnsi="宋体" w:cs="Times New Roman"/>
                <w:kern w:val="0"/>
                <w:szCs w:val="21"/>
              </w:rPr>
              <w:t>（共</w:t>
            </w:r>
            <w:r>
              <w:rPr>
                <w:rFonts w:ascii="宋体" w:hAnsi="宋体" w:cs="Times New Roman" w:hint="eastAsia"/>
                <w:kern w:val="0"/>
                <w:szCs w:val="21"/>
              </w:rPr>
              <w:t>100条</w:t>
            </w:r>
            <w:r>
              <w:rPr>
                <w:rFonts w:ascii="宋体" w:hAnsi="宋体" w:cs="Times New Roman"/>
                <w:kern w:val="0"/>
                <w:szCs w:val="21"/>
              </w:rPr>
              <w:t>）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1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省级主流APP</w:t>
            </w:r>
            <w:r>
              <w:rPr>
                <w:rFonts w:ascii="宋体" w:hAnsi="宋体"/>
                <w:sz w:val="24"/>
              </w:rPr>
              <w:t>健康专题</w:t>
            </w:r>
          </w:p>
        </w:tc>
        <w:tc>
          <w:tcPr>
            <w:tcW w:w="1136" w:type="pct"/>
            <w:vAlign w:val="center"/>
          </w:tcPr>
          <w:p w:rsidR="00B93055" w:rsidRDefault="00C072B2" w:rsidP="00F57934">
            <w:pPr>
              <w:snapToGrid w:val="0"/>
              <w:spacing w:line="360" w:lineRule="auto"/>
              <w:jc w:val="center"/>
              <w:rPr>
                <w:rFonts w:ascii="宋体" w:hAnsi="宋体" w:cs="Times New Roman"/>
                <w:kern w:val="0"/>
                <w:szCs w:val="21"/>
              </w:rPr>
            </w:pPr>
            <w:r>
              <w:rPr>
                <w:rFonts w:ascii="宋体" w:hAnsi="宋体" w:cs="Times New Roman" w:hint="eastAsia"/>
                <w:kern w:val="0"/>
                <w:szCs w:val="21"/>
              </w:rPr>
              <w:t>/</w:t>
            </w:r>
          </w:p>
        </w:tc>
        <w:tc>
          <w:tcPr>
            <w:tcW w:w="1136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1个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</w:p>
        </w:tc>
        <w:tc>
          <w:tcPr>
            <w:tcW w:w="3489" w:type="pct"/>
            <w:gridSpan w:val="3"/>
            <w:vAlign w:val="center"/>
          </w:tcPr>
          <w:p w:rsidR="00B93055" w:rsidRDefault="00B93055" w:rsidP="0011087E">
            <w:pPr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报价（上述单价合计）</w:t>
            </w:r>
          </w:p>
        </w:tc>
        <w:tc>
          <w:tcPr>
            <w:tcW w:w="1134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93055" w:rsidTr="00F57934">
        <w:trPr>
          <w:trHeight w:val="512"/>
          <w:jc w:val="center"/>
        </w:trPr>
        <w:tc>
          <w:tcPr>
            <w:tcW w:w="377" w:type="pct"/>
            <w:vAlign w:val="center"/>
          </w:tcPr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4623" w:type="pct"/>
            <w:gridSpan w:val="4"/>
            <w:vAlign w:val="center"/>
          </w:tcPr>
          <w:p w:rsidR="00B93055" w:rsidRDefault="00B93055" w:rsidP="0011087E"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其他优惠承诺：</w:t>
            </w:r>
            <w:r w:rsidR="0011087E">
              <w:rPr>
                <w:rFonts w:ascii="宋体" w:hAnsi="宋体"/>
                <w:sz w:val="24"/>
              </w:rPr>
              <w:t xml:space="preserve"> </w:t>
            </w:r>
          </w:p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B93055" w:rsidRDefault="00B93055" w:rsidP="00F57934"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F2773" w:rsidRPr="009F2773" w:rsidRDefault="009F2773" w:rsidP="009F2773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b/>
          <w:sz w:val="24"/>
        </w:rPr>
      </w:pPr>
      <w:r w:rsidRPr="009F2773">
        <w:rPr>
          <w:rFonts w:ascii="宋体" w:hAnsi="宋体" w:hint="eastAsia"/>
          <w:b/>
          <w:sz w:val="24"/>
        </w:rPr>
        <w:t>注：上述4种规格版面，成交后按对应规格版面的成交单价结合实际数量进行支付。</w:t>
      </w:r>
    </w:p>
    <w:p w:rsidR="00B93055" w:rsidRPr="009F2773" w:rsidRDefault="00B93055" w:rsidP="00B9305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  <w:bookmarkStart w:id="0" w:name="_GoBack"/>
      <w:bookmarkEnd w:id="0"/>
    </w:p>
    <w:p w:rsidR="00C54901" w:rsidRDefault="00C54901" w:rsidP="00B9305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</w:p>
    <w:p w:rsidR="00C54901" w:rsidRDefault="00C54901" w:rsidP="00B9305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sz w:val="24"/>
        </w:rPr>
      </w:pPr>
    </w:p>
    <w:p w:rsidR="00B93055" w:rsidRDefault="00B93055" w:rsidP="00B93055">
      <w:pPr>
        <w:snapToGrid w:val="0"/>
        <w:spacing w:before="50" w:after="50" w:line="360" w:lineRule="auto"/>
        <w:ind w:leftChars="-72" w:left="-2" w:rightChars="-389" w:right="-817" w:hangingChars="62" w:hanging="149"/>
        <w:rPr>
          <w:rFonts w:ascii="宋体" w:hAnsi="宋体"/>
          <w:color w:val="000000"/>
          <w:sz w:val="24"/>
          <w:szCs w:val="24"/>
        </w:rPr>
      </w:pPr>
    </w:p>
    <w:p w:rsidR="00F92EA7" w:rsidRDefault="00F92EA7"/>
    <w:sectPr w:rsidR="00F9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06" w:rsidRDefault="00E26306" w:rsidP="00B93055">
      <w:r>
        <w:separator/>
      </w:r>
    </w:p>
  </w:endnote>
  <w:endnote w:type="continuationSeparator" w:id="0">
    <w:p w:rsidR="00E26306" w:rsidRDefault="00E26306" w:rsidP="00B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06" w:rsidRDefault="00E26306" w:rsidP="00B93055">
      <w:r>
        <w:separator/>
      </w:r>
    </w:p>
  </w:footnote>
  <w:footnote w:type="continuationSeparator" w:id="0">
    <w:p w:rsidR="00E26306" w:rsidRDefault="00E26306" w:rsidP="00B9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58"/>
    <w:rsid w:val="00003A58"/>
    <w:rsid w:val="0011087E"/>
    <w:rsid w:val="0039026D"/>
    <w:rsid w:val="009F2773"/>
    <w:rsid w:val="00A619F5"/>
    <w:rsid w:val="00B93055"/>
    <w:rsid w:val="00C072B2"/>
    <w:rsid w:val="00C21C20"/>
    <w:rsid w:val="00C54901"/>
    <w:rsid w:val="00E26306"/>
    <w:rsid w:val="00E4284F"/>
    <w:rsid w:val="00F57934"/>
    <w:rsid w:val="00F9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5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055"/>
    <w:rPr>
      <w:sz w:val="18"/>
      <w:szCs w:val="18"/>
    </w:rPr>
  </w:style>
  <w:style w:type="paragraph" w:styleId="a5">
    <w:name w:val="List Paragraph"/>
    <w:basedOn w:val="a"/>
    <w:uiPriority w:val="34"/>
    <w:qFormat/>
    <w:rsid w:val="00B930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5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3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0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055"/>
    <w:rPr>
      <w:sz w:val="18"/>
      <w:szCs w:val="18"/>
    </w:rPr>
  </w:style>
  <w:style w:type="paragraph" w:styleId="a5">
    <w:name w:val="List Paragraph"/>
    <w:basedOn w:val="a"/>
    <w:uiPriority w:val="34"/>
    <w:qFormat/>
    <w:rsid w:val="00B930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2023-07-26T08:48:00Z</dcterms:created>
  <dcterms:modified xsi:type="dcterms:W3CDTF">2023-07-27T01:54:00Z</dcterms:modified>
</cp:coreProperties>
</file>