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1B" w:rsidRPr="006B2C90" w:rsidRDefault="00EA7C1B" w:rsidP="00D44048">
      <w:pPr>
        <w:pStyle w:val="a6"/>
        <w:snapToGrid w:val="0"/>
        <w:spacing w:beforeLines="0" w:afterLines="0" w:line="360" w:lineRule="auto"/>
        <w:ind w:firstLineChars="1300" w:firstLine="3654"/>
        <w:outlineLvl w:val="0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6B2C90">
        <w:rPr>
          <w:rFonts w:hAnsi="宋体" w:cs="Arial" w:hint="eastAsia"/>
          <w:b/>
          <w:bCs/>
          <w:sz w:val="28"/>
          <w:szCs w:val="28"/>
        </w:rPr>
        <w:t>招标参数</w:t>
      </w:r>
    </w:p>
    <w:tbl>
      <w:tblPr>
        <w:tblW w:w="94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50"/>
      </w:tblGrid>
      <w:tr w:rsidR="00EA7C1B" w:rsidRPr="006B2C90" w:rsidTr="007E06C7">
        <w:trPr>
          <w:trHeight w:val="443"/>
        </w:trPr>
        <w:tc>
          <w:tcPr>
            <w:tcW w:w="1809" w:type="dxa"/>
            <w:vAlign w:val="center"/>
          </w:tcPr>
          <w:p w:rsidR="00EA7C1B" w:rsidRPr="006B2C90" w:rsidRDefault="007E06C7" w:rsidP="007E06C7">
            <w:pPr>
              <w:autoSpaceDE w:val="0"/>
              <w:autoSpaceDN w:val="0"/>
              <w:adjustRightInd w:val="0"/>
              <w:spacing w:line="440" w:lineRule="exact"/>
              <w:ind w:hanging="698"/>
              <w:jc w:val="center"/>
              <w:rPr>
                <w:rFonts w:hAnsi="宋体" w:cs="宋体"/>
                <w:sz w:val="22"/>
              </w:rPr>
            </w:pPr>
            <w:r>
              <w:rPr>
                <w:rFonts w:hAnsi="宋体" w:cs="宋体" w:hint="eastAsia"/>
                <w:sz w:val="22"/>
              </w:rPr>
              <w:t xml:space="preserve">   </w:t>
            </w:r>
            <w:r w:rsidR="00EA7C1B" w:rsidRPr="006B2C90">
              <w:rPr>
                <w:rFonts w:hAnsi="宋体" w:cs="宋体" w:hint="eastAsia"/>
                <w:sz w:val="22"/>
              </w:rPr>
              <w:t>需求明细</w:t>
            </w:r>
          </w:p>
        </w:tc>
        <w:tc>
          <w:tcPr>
            <w:tcW w:w="7650" w:type="dxa"/>
            <w:vAlign w:val="center"/>
          </w:tcPr>
          <w:p w:rsidR="00EA7C1B" w:rsidRPr="006B2C90" w:rsidRDefault="00EA7C1B" w:rsidP="007E06C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Ansi="宋体" w:cs="宋体"/>
                <w:sz w:val="22"/>
              </w:rPr>
            </w:pPr>
            <w:r w:rsidRPr="006B2C90">
              <w:rPr>
                <w:rFonts w:hAnsi="宋体" w:cs="宋体" w:hint="eastAsia"/>
                <w:sz w:val="22"/>
              </w:rPr>
              <w:t>具体描述</w:t>
            </w:r>
          </w:p>
        </w:tc>
      </w:tr>
      <w:tr w:rsidR="00EA7C1B" w:rsidRPr="006B2C90" w:rsidTr="007E06C7">
        <w:trPr>
          <w:trHeight w:val="656"/>
        </w:trPr>
        <w:tc>
          <w:tcPr>
            <w:tcW w:w="1809" w:type="dxa"/>
            <w:vAlign w:val="center"/>
          </w:tcPr>
          <w:p w:rsidR="00EA7C1B" w:rsidRPr="006B2C90" w:rsidRDefault="00EA7C1B" w:rsidP="007E06C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Ansi="宋体" w:cs="宋体"/>
                <w:bCs/>
                <w:sz w:val="22"/>
              </w:rPr>
            </w:pPr>
            <w:r w:rsidRPr="006B2C90">
              <w:rPr>
                <w:rFonts w:hAnsi="宋体" w:hint="eastAsia"/>
                <w:bCs/>
                <w:sz w:val="22"/>
              </w:rPr>
              <w:t>实验室资质及实验室人员要求</w:t>
            </w:r>
          </w:p>
        </w:tc>
        <w:tc>
          <w:tcPr>
            <w:tcW w:w="7650" w:type="dxa"/>
            <w:vAlign w:val="center"/>
          </w:tcPr>
          <w:p w:rsidR="00EA7C1B" w:rsidRPr="006B2C90" w:rsidRDefault="00341EB0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投标方实验室提供</w:t>
            </w:r>
            <w:r w:rsidR="00A50460">
              <w:rPr>
                <w:rFonts w:ascii="宋体" w:hAnsi="宋体" w:hint="eastAsia"/>
                <w:sz w:val="22"/>
              </w:rPr>
              <w:t>医疗</w:t>
            </w:r>
            <w:r>
              <w:rPr>
                <w:rFonts w:ascii="宋体" w:hAnsi="宋体" w:hint="eastAsia"/>
                <w:sz w:val="22"/>
              </w:rPr>
              <w:t>机构执业许可证</w:t>
            </w:r>
            <w:r w:rsidR="00F26A0A">
              <w:rPr>
                <w:rFonts w:ascii="宋体" w:hAnsi="宋体" w:hint="eastAsia"/>
                <w:sz w:val="22"/>
              </w:rPr>
              <w:t>、</w:t>
            </w:r>
            <w:r>
              <w:rPr>
                <w:rFonts w:ascii="宋体" w:hAnsi="宋体" w:hint="eastAsia"/>
                <w:sz w:val="22"/>
              </w:rPr>
              <w:t>各省市临床检验中心临床扩增检验实验室认证</w:t>
            </w:r>
            <w:r w:rsidR="00F26A0A">
              <w:rPr>
                <w:rFonts w:ascii="宋体" w:hAnsi="宋体" w:hint="eastAsia"/>
                <w:sz w:val="22"/>
              </w:rPr>
              <w:t>相关</w:t>
            </w:r>
            <w:r w:rsidR="00EA7C1B" w:rsidRPr="006B2C90">
              <w:rPr>
                <w:rFonts w:ascii="宋体" w:hAnsi="宋体" w:hint="eastAsia"/>
                <w:sz w:val="22"/>
              </w:rPr>
              <w:t>证书</w:t>
            </w:r>
            <w:r>
              <w:rPr>
                <w:rFonts w:ascii="宋体" w:hAnsi="宋体" w:hint="eastAsia"/>
                <w:sz w:val="22"/>
              </w:rPr>
              <w:t>及</w:t>
            </w:r>
            <w:r w:rsidR="00F26A0A">
              <w:rPr>
                <w:rFonts w:ascii="宋体" w:hAnsi="宋体" w:hint="eastAsia"/>
                <w:sz w:val="22"/>
              </w:rPr>
              <w:t>材料</w:t>
            </w:r>
            <w:r w:rsidR="00EA7C1B" w:rsidRPr="006B2C90">
              <w:rPr>
                <w:rFonts w:ascii="宋体" w:hAnsi="宋体" w:hint="eastAsia"/>
                <w:sz w:val="22"/>
              </w:rPr>
              <w:t>。</w:t>
            </w:r>
          </w:p>
          <w:p w:rsidR="00EA7C1B" w:rsidRPr="006B2C90" w:rsidRDefault="00BF45CE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提供</w:t>
            </w:r>
            <w:r w:rsidR="00B602FA">
              <w:rPr>
                <w:rFonts w:ascii="宋体" w:hAnsi="宋体" w:hint="eastAsia"/>
                <w:sz w:val="22"/>
              </w:rPr>
              <w:t>相关项目省级及以上临床检验中心的室间质评</w:t>
            </w:r>
            <w:r w:rsidR="00EA7C1B" w:rsidRPr="006B2C90">
              <w:rPr>
                <w:rFonts w:ascii="宋体" w:hAnsi="宋体" w:hint="eastAsia"/>
                <w:sz w:val="22"/>
              </w:rPr>
              <w:t>合格证书。</w:t>
            </w:r>
          </w:p>
          <w:p w:rsidR="00EA7C1B" w:rsidRPr="006B2C90" w:rsidRDefault="00BF45CE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提供实验操作人员</w:t>
            </w:r>
            <w:r w:rsidR="00EA7C1B" w:rsidRPr="006B2C90">
              <w:rPr>
                <w:rFonts w:ascii="宋体" w:hAnsi="宋体" w:hint="eastAsia"/>
                <w:sz w:val="22"/>
              </w:rPr>
              <w:t>PCR人员上岗证（至少提供2人）。</w:t>
            </w:r>
          </w:p>
        </w:tc>
      </w:tr>
      <w:tr w:rsidR="00EA7C1B" w:rsidRPr="006B2C90" w:rsidTr="007E06C7">
        <w:trPr>
          <w:trHeight w:val="656"/>
        </w:trPr>
        <w:tc>
          <w:tcPr>
            <w:tcW w:w="1809" w:type="dxa"/>
            <w:vAlign w:val="center"/>
          </w:tcPr>
          <w:p w:rsidR="00EA7C1B" w:rsidRPr="006B2C90" w:rsidRDefault="00EA7C1B" w:rsidP="007E06C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Ansi="宋体"/>
                <w:bCs/>
                <w:sz w:val="22"/>
              </w:rPr>
            </w:pPr>
            <w:r w:rsidRPr="006B2C90">
              <w:rPr>
                <w:rFonts w:hAnsi="宋体" w:hint="eastAsia"/>
                <w:bCs/>
                <w:sz w:val="22"/>
              </w:rPr>
              <w:t>流程要求</w:t>
            </w:r>
          </w:p>
        </w:tc>
        <w:tc>
          <w:tcPr>
            <w:tcW w:w="7650" w:type="dxa"/>
            <w:vAlign w:val="center"/>
          </w:tcPr>
          <w:p w:rsidR="00EA7C1B" w:rsidRPr="006B2C90" w:rsidRDefault="00EA7C1B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 w:rsidRPr="006B2C90">
              <w:rPr>
                <w:rFonts w:ascii="宋体" w:hAnsi="宋体" w:hint="eastAsia"/>
                <w:sz w:val="22"/>
              </w:rPr>
              <w:t>项目通过遗传</w:t>
            </w:r>
            <w:proofErr w:type="gramStart"/>
            <w:r w:rsidRPr="006B2C90">
              <w:rPr>
                <w:rFonts w:ascii="宋体" w:hAnsi="宋体" w:hint="eastAsia"/>
                <w:sz w:val="22"/>
              </w:rPr>
              <w:t>代谢科分子</w:t>
            </w:r>
            <w:proofErr w:type="gramEnd"/>
            <w:r w:rsidRPr="006B2C90">
              <w:rPr>
                <w:rFonts w:ascii="宋体" w:hAnsi="宋体" w:hint="eastAsia"/>
                <w:sz w:val="22"/>
              </w:rPr>
              <w:t>遗传平台进行收取样本。</w:t>
            </w:r>
          </w:p>
          <w:p w:rsidR="00EA7C1B" w:rsidRPr="006B2C90" w:rsidRDefault="00EB4EFF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项目加入到医院基因送检项目申请单中</w:t>
            </w:r>
            <w:r w:rsidR="00EA7C1B" w:rsidRPr="006B2C90">
              <w:rPr>
                <w:rFonts w:ascii="宋体" w:hAnsi="宋体" w:hint="eastAsia"/>
                <w:sz w:val="22"/>
              </w:rPr>
              <w:t>，由临床医生</w:t>
            </w:r>
            <w:proofErr w:type="gramStart"/>
            <w:r w:rsidR="00EA7C1B" w:rsidRPr="006B2C90">
              <w:rPr>
                <w:rFonts w:ascii="宋体" w:hAnsi="宋体" w:hint="eastAsia"/>
                <w:sz w:val="22"/>
              </w:rPr>
              <w:t>进行勾选送检</w:t>
            </w:r>
            <w:proofErr w:type="gramEnd"/>
            <w:r w:rsidR="00EA7C1B" w:rsidRPr="006B2C90">
              <w:rPr>
                <w:rFonts w:ascii="宋体" w:hAnsi="宋体" w:hint="eastAsia"/>
                <w:sz w:val="22"/>
              </w:rPr>
              <w:t>。</w:t>
            </w:r>
          </w:p>
          <w:p w:rsidR="00EA7C1B" w:rsidRPr="006B2C90" w:rsidRDefault="00EA7C1B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 w:rsidRPr="006B2C90">
              <w:rPr>
                <w:rFonts w:ascii="宋体" w:hAnsi="宋体" w:hint="eastAsia"/>
                <w:sz w:val="22"/>
              </w:rPr>
              <w:t>遗传</w:t>
            </w:r>
            <w:proofErr w:type="gramStart"/>
            <w:r w:rsidRPr="006B2C90">
              <w:rPr>
                <w:rFonts w:ascii="宋体" w:hAnsi="宋体" w:hint="eastAsia"/>
                <w:sz w:val="22"/>
              </w:rPr>
              <w:t>代谢科分子</w:t>
            </w:r>
            <w:proofErr w:type="gramEnd"/>
            <w:r w:rsidRPr="006B2C90">
              <w:rPr>
                <w:rFonts w:ascii="宋体" w:hAnsi="宋体" w:hint="eastAsia"/>
                <w:sz w:val="22"/>
              </w:rPr>
              <w:t>遗传平台进行收发该项目报告。</w:t>
            </w:r>
          </w:p>
        </w:tc>
      </w:tr>
      <w:tr w:rsidR="00EA7C1B" w:rsidRPr="006B2C90" w:rsidTr="007E06C7">
        <w:trPr>
          <w:trHeight w:val="1692"/>
        </w:trPr>
        <w:tc>
          <w:tcPr>
            <w:tcW w:w="1809" w:type="dxa"/>
            <w:vAlign w:val="center"/>
          </w:tcPr>
          <w:p w:rsidR="00EA7C1B" w:rsidRPr="006B2C90" w:rsidRDefault="00EA7C1B" w:rsidP="007E06C7">
            <w:pPr>
              <w:autoSpaceDE w:val="0"/>
              <w:autoSpaceDN w:val="0"/>
              <w:adjustRightInd w:val="0"/>
              <w:spacing w:line="440" w:lineRule="exact"/>
              <w:ind w:left="33"/>
              <w:jc w:val="center"/>
              <w:rPr>
                <w:rFonts w:hAnsi="宋体" w:cs="宋体"/>
                <w:sz w:val="22"/>
              </w:rPr>
            </w:pPr>
            <w:r w:rsidRPr="006B2C90">
              <w:rPr>
                <w:rFonts w:hAnsi="宋体" w:cs="宋体" w:hint="eastAsia"/>
                <w:sz w:val="22"/>
              </w:rPr>
              <w:t>样本</w:t>
            </w:r>
            <w:r w:rsidR="00F372E3">
              <w:rPr>
                <w:rFonts w:hAnsi="宋体" w:cs="宋体" w:hint="eastAsia"/>
                <w:sz w:val="22"/>
              </w:rPr>
              <w:t>及运输</w:t>
            </w:r>
            <w:r w:rsidRPr="006B2C90">
              <w:rPr>
                <w:rFonts w:hAnsi="宋体" w:cs="宋体"/>
                <w:sz w:val="22"/>
              </w:rPr>
              <w:t>要求</w:t>
            </w:r>
          </w:p>
        </w:tc>
        <w:tc>
          <w:tcPr>
            <w:tcW w:w="7650" w:type="dxa"/>
            <w:vAlign w:val="center"/>
          </w:tcPr>
          <w:p w:rsidR="00EA7C1B" w:rsidRPr="00A5470B" w:rsidRDefault="00F21239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投标方对所有检测样本以</w:t>
            </w:r>
            <w:r w:rsidR="00EA7C1B" w:rsidRPr="00A5470B">
              <w:rPr>
                <w:rFonts w:ascii="宋体" w:hAnsi="宋体" w:hint="eastAsia"/>
                <w:sz w:val="22"/>
              </w:rPr>
              <w:t>DNA</w:t>
            </w:r>
            <w:r w:rsidR="00A50460">
              <w:rPr>
                <w:rFonts w:ascii="宋体" w:hAnsi="宋体" w:hint="eastAsia"/>
                <w:sz w:val="22"/>
              </w:rPr>
              <w:t>样本形式收取，可</w:t>
            </w:r>
            <w:r w:rsidR="00EA7C1B" w:rsidRPr="00A5470B">
              <w:rPr>
                <w:rFonts w:ascii="宋体" w:hAnsi="宋体" w:hint="eastAsia"/>
                <w:sz w:val="22"/>
              </w:rPr>
              <w:t>采用外周血液、干血片、组织、羊水等形式进行收取，并负责上门交接，能协调和监督与采购方有合作关系的样品物流运输。</w:t>
            </w:r>
          </w:p>
          <w:p w:rsidR="00EA7C1B" w:rsidRPr="00A5470B" w:rsidRDefault="00EA7C1B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bookmarkStart w:id="1" w:name="_Hlk75811119"/>
            <w:r w:rsidRPr="00A5470B">
              <w:rPr>
                <w:rFonts w:ascii="宋体" w:hAnsi="宋体" w:hint="eastAsia"/>
                <w:sz w:val="22"/>
              </w:rPr>
              <w:t>投标方对样本全程采用低温条件下储运，冷</w:t>
            </w:r>
            <w:proofErr w:type="gramStart"/>
            <w:r w:rsidRPr="00A5470B">
              <w:rPr>
                <w:rFonts w:ascii="宋体" w:hAnsi="宋体" w:hint="eastAsia"/>
                <w:sz w:val="22"/>
              </w:rPr>
              <w:t>链运输</w:t>
            </w:r>
            <w:proofErr w:type="gramEnd"/>
            <w:r w:rsidRPr="00A5470B">
              <w:rPr>
                <w:rFonts w:ascii="宋体" w:hAnsi="宋体" w:hint="eastAsia"/>
                <w:sz w:val="22"/>
              </w:rPr>
              <w:t>保证物流过程中温度在规定范围之内,</w:t>
            </w:r>
            <w:r w:rsidRPr="00A5470B">
              <w:rPr>
                <w:rFonts w:ascii="宋体" w:hAnsi="宋体"/>
                <w:sz w:val="22"/>
              </w:rPr>
              <w:t>并提供</w:t>
            </w:r>
            <w:r w:rsidRPr="00A5470B">
              <w:rPr>
                <w:rFonts w:ascii="宋体" w:hAnsi="宋体" w:hint="eastAsia"/>
                <w:sz w:val="22"/>
              </w:rPr>
              <w:t>完善的</w:t>
            </w:r>
            <w:r w:rsidRPr="00A5470B">
              <w:rPr>
                <w:rFonts w:ascii="宋体" w:hAnsi="宋体"/>
                <w:sz w:val="22"/>
              </w:rPr>
              <w:t>冷链运输方案</w:t>
            </w:r>
            <w:r w:rsidRPr="00A5470B">
              <w:rPr>
                <w:rFonts w:ascii="宋体" w:hAnsi="宋体" w:hint="eastAsia"/>
                <w:sz w:val="22"/>
              </w:rPr>
              <w:t>。</w:t>
            </w:r>
            <w:bookmarkEnd w:id="1"/>
          </w:p>
        </w:tc>
      </w:tr>
      <w:tr w:rsidR="00EA7C1B" w:rsidRPr="006B2C90" w:rsidTr="007E06C7">
        <w:trPr>
          <w:trHeight w:val="1692"/>
        </w:trPr>
        <w:tc>
          <w:tcPr>
            <w:tcW w:w="1809" w:type="dxa"/>
            <w:vAlign w:val="center"/>
          </w:tcPr>
          <w:p w:rsidR="00EA7C1B" w:rsidRPr="006B2C90" w:rsidRDefault="00EA7C1B" w:rsidP="007E06C7">
            <w:pPr>
              <w:autoSpaceDE w:val="0"/>
              <w:autoSpaceDN w:val="0"/>
              <w:adjustRightInd w:val="0"/>
              <w:spacing w:line="440" w:lineRule="exact"/>
              <w:ind w:left="33"/>
              <w:jc w:val="center"/>
              <w:rPr>
                <w:rFonts w:hAnsi="宋体" w:cs="宋体"/>
                <w:sz w:val="22"/>
              </w:rPr>
            </w:pPr>
            <w:r w:rsidRPr="006B2C90">
              <w:rPr>
                <w:rFonts w:hAnsi="宋体" w:cs="宋体" w:hint="eastAsia"/>
                <w:sz w:val="22"/>
              </w:rPr>
              <w:t>分析软件要求</w:t>
            </w:r>
          </w:p>
        </w:tc>
        <w:tc>
          <w:tcPr>
            <w:tcW w:w="7650" w:type="dxa"/>
            <w:vAlign w:val="center"/>
          </w:tcPr>
          <w:p w:rsidR="00EA7C1B" w:rsidRPr="00A5470B" w:rsidRDefault="0086659A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需</w:t>
            </w:r>
            <w:r w:rsidR="00EA7C1B" w:rsidRPr="00A5470B">
              <w:rPr>
                <w:rFonts w:ascii="宋体" w:hAnsi="宋体" w:hint="eastAsia"/>
                <w:sz w:val="22"/>
              </w:rPr>
              <w:t>提供生物信息学分析及临床分析软件。</w:t>
            </w:r>
          </w:p>
          <w:p w:rsidR="00EA7C1B" w:rsidRPr="00A5470B" w:rsidRDefault="00EA7C1B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 w:rsidRPr="00A5470B">
              <w:rPr>
                <w:rFonts w:ascii="宋体" w:hAnsi="宋体" w:hint="eastAsia"/>
                <w:sz w:val="22"/>
              </w:rPr>
              <w:t>提供免费及时的软件升级服务（与投标方内部使用软件及数据库更新时间差不超过1个月）。</w:t>
            </w:r>
          </w:p>
          <w:p w:rsidR="00EA7C1B" w:rsidRPr="00A5470B" w:rsidRDefault="0086659A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提供</w:t>
            </w:r>
            <w:r w:rsidR="00EA7C1B" w:rsidRPr="00A5470B">
              <w:rPr>
                <w:rFonts w:ascii="宋体" w:hAnsi="宋体" w:hint="eastAsia"/>
                <w:sz w:val="22"/>
              </w:rPr>
              <w:t>计算机软件著作权及技术开发专利</w:t>
            </w:r>
            <w:r>
              <w:rPr>
                <w:rFonts w:ascii="宋体" w:hAnsi="宋体" w:hint="eastAsia"/>
                <w:sz w:val="22"/>
              </w:rPr>
              <w:t>证明材料</w:t>
            </w:r>
          </w:p>
        </w:tc>
      </w:tr>
      <w:tr w:rsidR="00EA7C1B" w:rsidRPr="006B2C90" w:rsidTr="007E06C7">
        <w:trPr>
          <w:trHeight w:val="1692"/>
        </w:trPr>
        <w:tc>
          <w:tcPr>
            <w:tcW w:w="1809" w:type="dxa"/>
            <w:vAlign w:val="center"/>
          </w:tcPr>
          <w:p w:rsidR="00EA7C1B" w:rsidRPr="006B2C90" w:rsidRDefault="00EA7C1B" w:rsidP="007E06C7">
            <w:pPr>
              <w:autoSpaceDE w:val="0"/>
              <w:autoSpaceDN w:val="0"/>
              <w:adjustRightInd w:val="0"/>
              <w:spacing w:line="440" w:lineRule="exact"/>
              <w:ind w:left="33"/>
              <w:jc w:val="center"/>
              <w:rPr>
                <w:rFonts w:hAnsi="宋体" w:cs="宋体"/>
                <w:sz w:val="22"/>
              </w:rPr>
            </w:pPr>
            <w:r w:rsidRPr="006B2C90">
              <w:rPr>
                <w:rFonts w:hAnsi="宋体" w:cs="宋体" w:hint="eastAsia"/>
                <w:sz w:val="22"/>
              </w:rPr>
              <w:t>测序平台要求</w:t>
            </w:r>
          </w:p>
        </w:tc>
        <w:tc>
          <w:tcPr>
            <w:tcW w:w="7650" w:type="dxa"/>
            <w:vAlign w:val="center"/>
          </w:tcPr>
          <w:p w:rsidR="00EA7C1B" w:rsidRPr="00A5470B" w:rsidRDefault="007D75FA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投标方应具有高性能计算平台</w:t>
            </w:r>
          </w:p>
          <w:p w:rsidR="00EA7C1B" w:rsidRPr="00A5470B" w:rsidRDefault="00EA7C1B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 w:rsidRPr="00A5470B">
              <w:rPr>
                <w:rFonts w:ascii="宋体" w:hAnsi="宋体" w:hint="eastAsia"/>
                <w:sz w:val="22"/>
              </w:rPr>
              <w:t>投标方有自主开展相应项目的高通量测序平台。能提供测序平台的证明文件，平台</w:t>
            </w:r>
            <w:proofErr w:type="gramStart"/>
            <w:r w:rsidRPr="00A5470B">
              <w:rPr>
                <w:rFonts w:ascii="宋体" w:hAnsi="宋体" w:hint="eastAsia"/>
                <w:sz w:val="22"/>
              </w:rPr>
              <w:t>测序仪需具备</w:t>
            </w:r>
            <w:proofErr w:type="gramEnd"/>
            <w:r w:rsidRPr="00A5470B">
              <w:rPr>
                <w:rFonts w:ascii="宋体" w:hAnsi="宋体" w:hint="eastAsia"/>
                <w:sz w:val="22"/>
              </w:rPr>
              <w:t>中华人民共和国医疗器械</w:t>
            </w:r>
            <w:r w:rsidR="009D0F0C">
              <w:rPr>
                <w:rFonts w:ascii="宋体" w:hAnsi="宋体" w:hint="eastAsia"/>
                <w:sz w:val="22"/>
              </w:rPr>
              <w:t>注册证或者为成熟的商业化测序平台；二代测序服务需投标方自行完成</w:t>
            </w:r>
          </w:p>
          <w:p w:rsidR="00EA7C1B" w:rsidRPr="00B04BAB" w:rsidRDefault="00B04BAB" w:rsidP="00B04BAB">
            <w:pPr>
              <w:widowControl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可以</w:t>
            </w:r>
            <w:r w:rsidR="00EA7C1B" w:rsidRPr="00A5470B">
              <w:rPr>
                <w:rFonts w:ascii="宋体" w:hAnsi="宋体" w:hint="eastAsia"/>
                <w:sz w:val="22"/>
              </w:rPr>
              <w:t>运用</w:t>
            </w:r>
            <w:proofErr w:type="spellStart"/>
            <w:r w:rsidR="00EA7C1B" w:rsidRPr="00A5470B">
              <w:rPr>
                <w:rFonts w:ascii="宋体" w:hAnsi="宋体" w:hint="eastAsia"/>
                <w:sz w:val="22"/>
              </w:rPr>
              <w:t>Illumina</w:t>
            </w:r>
            <w:proofErr w:type="spellEnd"/>
            <w:r w:rsidR="00EA7C1B" w:rsidRPr="00A5470B">
              <w:rPr>
                <w:rFonts w:ascii="宋体" w:hAnsi="宋体" w:hint="eastAsia"/>
                <w:sz w:val="22"/>
              </w:rPr>
              <w:t xml:space="preserve"> </w:t>
            </w:r>
            <w:proofErr w:type="spellStart"/>
            <w:r w:rsidR="00EA7C1B" w:rsidRPr="00A5470B">
              <w:rPr>
                <w:rFonts w:ascii="宋体" w:hAnsi="宋体" w:hint="eastAsia"/>
                <w:sz w:val="22"/>
              </w:rPr>
              <w:t>NextSeq</w:t>
            </w:r>
            <w:proofErr w:type="spellEnd"/>
            <w:r w:rsidR="00EA7C1B" w:rsidRPr="00A5470B">
              <w:rPr>
                <w:rFonts w:ascii="宋体" w:hAnsi="宋体" w:hint="eastAsia"/>
                <w:sz w:val="22"/>
              </w:rPr>
              <w:t xml:space="preserve"> 500\</w:t>
            </w:r>
            <w:proofErr w:type="spellStart"/>
            <w:r w:rsidR="00EA7C1B" w:rsidRPr="00A5470B">
              <w:rPr>
                <w:rFonts w:ascii="宋体" w:hAnsi="宋体" w:hint="eastAsia"/>
                <w:sz w:val="22"/>
              </w:rPr>
              <w:t>illumina</w:t>
            </w:r>
            <w:proofErr w:type="spellEnd"/>
            <w:r w:rsidR="00EA7C1B" w:rsidRPr="00A5470B">
              <w:rPr>
                <w:rFonts w:ascii="宋体" w:hAnsi="宋体" w:hint="eastAsia"/>
                <w:sz w:val="22"/>
              </w:rPr>
              <w:t xml:space="preserve"> X10\Novaseq6000\BGI DNBSEQ-T7进行测序，测序质</w:t>
            </w:r>
            <w:proofErr w:type="gramStart"/>
            <w:r w:rsidR="00EA7C1B" w:rsidRPr="00A5470B">
              <w:rPr>
                <w:rFonts w:ascii="宋体" w:hAnsi="宋体" w:hint="eastAsia"/>
                <w:sz w:val="22"/>
              </w:rPr>
              <w:t>控指数</w:t>
            </w:r>
            <w:proofErr w:type="gramEnd"/>
            <w:r w:rsidR="00EA7C1B" w:rsidRPr="00A5470B">
              <w:rPr>
                <w:rFonts w:ascii="宋体" w:hAnsi="宋体" w:hint="eastAsia"/>
                <w:sz w:val="22"/>
              </w:rPr>
              <w:t>如下：</w:t>
            </w:r>
            <w:r w:rsidR="00EA7C1B" w:rsidRPr="00B04BAB">
              <w:rPr>
                <w:rFonts w:ascii="宋体" w:hAnsi="宋体" w:hint="eastAsia"/>
                <w:sz w:val="22"/>
              </w:rPr>
              <w:t>Panel&lt;2mb,捕获效率45%，覆盖度99%</w:t>
            </w:r>
          </w:p>
          <w:p w:rsidR="00EA7C1B" w:rsidRPr="00A5470B" w:rsidRDefault="0086659A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涉及验证的一代测序平台提供</w:t>
            </w:r>
            <w:r w:rsidR="00EA7C1B" w:rsidRPr="00A5470B">
              <w:rPr>
                <w:rFonts w:ascii="宋体" w:hAnsi="宋体" w:hint="eastAsia"/>
                <w:sz w:val="22"/>
              </w:rPr>
              <w:t>具备中华人民共和国医疗器械注册证或者为成熟的商业化测序平台；如将一代测序服务转包第三方，需提供相应的证明文件（如合同）。</w:t>
            </w:r>
          </w:p>
        </w:tc>
      </w:tr>
      <w:tr w:rsidR="00EA7C1B" w:rsidRPr="006B2C90" w:rsidTr="007E06C7">
        <w:trPr>
          <w:trHeight w:val="90"/>
        </w:trPr>
        <w:tc>
          <w:tcPr>
            <w:tcW w:w="1809" w:type="dxa"/>
            <w:vAlign w:val="center"/>
          </w:tcPr>
          <w:p w:rsidR="00EA7C1B" w:rsidRPr="006B2C90" w:rsidRDefault="00EA7C1B" w:rsidP="007E06C7">
            <w:pPr>
              <w:autoSpaceDE w:val="0"/>
              <w:autoSpaceDN w:val="0"/>
              <w:adjustRightInd w:val="0"/>
              <w:spacing w:line="440" w:lineRule="exact"/>
              <w:ind w:left="33"/>
              <w:jc w:val="center"/>
              <w:rPr>
                <w:rFonts w:hAnsi="宋体" w:cs="宋体"/>
                <w:sz w:val="22"/>
              </w:rPr>
            </w:pPr>
            <w:r w:rsidRPr="006B2C90">
              <w:rPr>
                <w:rFonts w:hAnsi="宋体" w:cs="宋体" w:hint="eastAsia"/>
                <w:sz w:val="22"/>
              </w:rPr>
              <w:t>测序技术</w:t>
            </w:r>
            <w:r w:rsidRPr="006B2C90">
              <w:rPr>
                <w:rFonts w:hAnsi="宋体" w:cs="宋体"/>
                <w:sz w:val="22"/>
              </w:rPr>
              <w:t>要求</w:t>
            </w:r>
          </w:p>
        </w:tc>
        <w:tc>
          <w:tcPr>
            <w:tcW w:w="7650" w:type="dxa"/>
            <w:vAlign w:val="center"/>
          </w:tcPr>
          <w:p w:rsidR="00EA7C1B" w:rsidRPr="00A5470B" w:rsidRDefault="00EA7C1B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 w:rsidRPr="00A5470B">
              <w:rPr>
                <w:rFonts w:ascii="宋体" w:hAnsi="宋体" w:hint="eastAsia"/>
                <w:sz w:val="22"/>
              </w:rPr>
              <w:t>测序数据量要求：</w:t>
            </w:r>
          </w:p>
          <w:p w:rsidR="00EA7C1B" w:rsidRPr="00B04BAB" w:rsidRDefault="00EA7C1B" w:rsidP="000F01B8">
            <w:pPr>
              <w:tabs>
                <w:tab w:val="left" w:pos="540"/>
              </w:tabs>
              <w:adjustRightInd w:val="0"/>
              <w:snapToGrid w:val="0"/>
              <w:spacing w:line="360" w:lineRule="auto"/>
              <w:ind w:leftChars="200" w:left="420"/>
              <w:rPr>
                <w:rFonts w:ascii="宋体" w:hAnsi="宋体"/>
                <w:sz w:val="22"/>
              </w:rPr>
            </w:pPr>
            <w:r w:rsidRPr="00B04BAB">
              <w:rPr>
                <w:rFonts w:ascii="宋体" w:hAnsi="宋体" w:hint="eastAsia"/>
                <w:sz w:val="22"/>
              </w:rPr>
              <w:t>全外显子检测项目测序平均深度不低于100X、Q20&gt;9</w:t>
            </w:r>
            <w:r w:rsidRPr="00B04BAB">
              <w:rPr>
                <w:rFonts w:ascii="宋体" w:hAnsi="宋体"/>
                <w:sz w:val="22"/>
              </w:rPr>
              <w:t>5</w:t>
            </w:r>
            <w:r w:rsidRPr="00B04BAB">
              <w:rPr>
                <w:rFonts w:ascii="宋体" w:hAnsi="宋体" w:hint="eastAsia"/>
                <w:sz w:val="22"/>
              </w:rPr>
              <w:t>%，Q30比例不低于90%；碱基类型分布均匀，无GC分离；平均覆盖度99.5%以上,</w:t>
            </w:r>
          </w:p>
          <w:p w:rsidR="00EA7C1B" w:rsidRPr="00A5470B" w:rsidRDefault="00EA7C1B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 w:rsidRPr="00A5470B">
              <w:rPr>
                <w:rFonts w:ascii="宋体" w:hAnsi="宋体" w:hint="eastAsia"/>
                <w:sz w:val="22"/>
              </w:rPr>
              <w:t>本检测方法可检测突变类型包括点突变、小片段插入缺失（≤10bp）及部</w:t>
            </w:r>
            <w:r w:rsidRPr="00A5470B">
              <w:rPr>
                <w:rFonts w:ascii="宋体" w:hAnsi="宋体" w:hint="eastAsia"/>
                <w:sz w:val="22"/>
              </w:rPr>
              <w:lastRenderedPageBreak/>
              <w:t>分基因连续2个以上外显子的缺失/重复</w:t>
            </w:r>
          </w:p>
          <w:p w:rsidR="00EA7C1B" w:rsidRPr="00A5470B" w:rsidRDefault="00EA7C1B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 w:rsidRPr="00A5470B">
              <w:rPr>
                <w:rFonts w:ascii="宋体" w:hAnsi="宋体" w:hint="eastAsia"/>
                <w:sz w:val="22"/>
              </w:rPr>
              <w:t>检测数据能覆盖CDS区及临床参考数据库中有明确致病性的非编码区（内含子及UTR等区域）变</w:t>
            </w:r>
            <w:r w:rsidR="004B12B1">
              <w:rPr>
                <w:rFonts w:ascii="宋体" w:hAnsi="宋体" w:hint="eastAsia"/>
                <w:sz w:val="22"/>
              </w:rPr>
              <w:t>异位点，分析过程中进行性别校验，如果是家系样本进行亲缘关系校验</w:t>
            </w:r>
          </w:p>
          <w:p w:rsidR="00EA7C1B" w:rsidRPr="00A5470B" w:rsidRDefault="00EA7C1B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bookmarkStart w:id="2" w:name="OLE_LINK10"/>
            <w:r w:rsidRPr="00A5470B">
              <w:rPr>
                <w:rFonts w:ascii="宋体" w:hAnsi="宋体" w:hint="eastAsia"/>
                <w:sz w:val="22"/>
              </w:rPr>
              <w:t>全外显子检测探针</w:t>
            </w:r>
            <w:bookmarkEnd w:id="2"/>
            <w:r w:rsidRPr="00A5470B">
              <w:rPr>
                <w:rFonts w:ascii="宋体" w:hAnsi="宋体" w:hint="eastAsia"/>
                <w:sz w:val="22"/>
              </w:rPr>
              <w:t>在深度内含子区域有探针覆盖和基因全长设计，常见基因：NF1、NF2、TSC1、TSC2、SLC26A4、DMD等，并且针对如性发育相关的肾上腺皮质增生基因CYP11B1</w:t>
            </w:r>
            <w:r w:rsidR="007851DE">
              <w:rPr>
                <w:rFonts w:ascii="宋体" w:hAnsi="宋体" w:hint="eastAsia"/>
                <w:sz w:val="22"/>
              </w:rPr>
              <w:t>，特殊设计全长，</w:t>
            </w:r>
            <w:r w:rsidRPr="00A5470B">
              <w:rPr>
                <w:rFonts w:ascii="宋体" w:hAnsi="宋体" w:hint="eastAsia"/>
                <w:sz w:val="22"/>
              </w:rPr>
              <w:t>Y连锁精子生成障碍相关基因UTY特殊设计编码区+非编码区</w:t>
            </w:r>
          </w:p>
          <w:p w:rsidR="00EA7C1B" w:rsidRPr="00A5470B" w:rsidRDefault="00EA7C1B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 w:rsidRPr="00A5470B">
              <w:rPr>
                <w:rFonts w:ascii="宋体" w:hAnsi="宋体" w:hint="eastAsia"/>
                <w:sz w:val="22"/>
              </w:rPr>
              <w:t>全外显子检测探针在以外显子为单位的片段缺失</w:t>
            </w:r>
            <w:proofErr w:type="gramStart"/>
            <w:r w:rsidRPr="00A5470B">
              <w:rPr>
                <w:rFonts w:ascii="宋体" w:hAnsi="宋体" w:hint="eastAsia"/>
                <w:sz w:val="22"/>
              </w:rPr>
              <w:t>表现占比较</w:t>
            </w:r>
            <w:proofErr w:type="gramEnd"/>
            <w:r w:rsidRPr="00A5470B">
              <w:rPr>
                <w:rFonts w:ascii="宋体" w:hAnsi="宋体" w:hint="eastAsia"/>
                <w:sz w:val="22"/>
              </w:rPr>
              <w:t>高的基因(如：DMD、PMP22、GCH1、COL7A1、SCN1A、GNAS、STS、PKD1、PKD2等临床常见基因）增加了高密度探针，</w:t>
            </w:r>
            <w:bookmarkStart w:id="3" w:name="OLE_LINK11"/>
            <w:r w:rsidRPr="00A5470B">
              <w:rPr>
                <w:rFonts w:ascii="宋体" w:hAnsi="宋体" w:hint="eastAsia"/>
                <w:sz w:val="22"/>
              </w:rPr>
              <w:t>如卵巢发育相关的FMR1基因</w:t>
            </w:r>
            <w:bookmarkEnd w:id="3"/>
          </w:p>
          <w:p w:rsidR="00EA7C1B" w:rsidRPr="00A5470B" w:rsidRDefault="00EA7C1B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 w:rsidRPr="00A5470B">
              <w:rPr>
                <w:rFonts w:ascii="宋体" w:hAnsi="宋体" w:hint="eastAsia"/>
                <w:sz w:val="22"/>
              </w:rPr>
              <w:t>投标方能够提供携带者筛查检测的数据管理系统，需提供软件截图、账号等证明文件。</w:t>
            </w:r>
          </w:p>
          <w:p w:rsidR="00EA7C1B" w:rsidRPr="00DC00C3" w:rsidRDefault="00EA7C1B" w:rsidP="00DC00C3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 w:rsidRPr="00A5470B">
              <w:rPr>
                <w:rFonts w:ascii="宋体" w:hAnsi="宋体" w:hint="eastAsia"/>
                <w:sz w:val="22"/>
              </w:rPr>
              <w:t>投标方应具有大规模的中国人群基因突变位点基因组大数据（至少90万份样本），作为检测结果注释解读的支撑，需提供大数据库说明及承诺函。</w:t>
            </w:r>
          </w:p>
        </w:tc>
      </w:tr>
      <w:tr w:rsidR="00EA7C1B" w:rsidRPr="00A5470B" w:rsidTr="007E06C7">
        <w:trPr>
          <w:trHeight w:val="699"/>
        </w:trPr>
        <w:tc>
          <w:tcPr>
            <w:tcW w:w="1809" w:type="dxa"/>
            <w:vAlign w:val="center"/>
          </w:tcPr>
          <w:p w:rsidR="00EA7C1B" w:rsidRPr="006B2C90" w:rsidRDefault="00EA7C1B" w:rsidP="00D410D0">
            <w:pPr>
              <w:autoSpaceDE w:val="0"/>
              <w:autoSpaceDN w:val="0"/>
              <w:adjustRightInd w:val="0"/>
              <w:spacing w:line="440" w:lineRule="exact"/>
              <w:ind w:firstLineChars="100" w:firstLine="220"/>
              <w:rPr>
                <w:rFonts w:hAnsi="宋体" w:cs="宋体"/>
                <w:sz w:val="22"/>
              </w:rPr>
            </w:pPr>
            <w:r w:rsidRPr="006B2C90">
              <w:rPr>
                <w:rFonts w:hAnsi="宋体" w:cs="宋体" w:hint="eastAsia"/>
                <w:sz w:val="22"/>
              </w:rPr>
              <w:lastRenderedPageBreak/>
              <w:t>质</w:t>
            </w:r>
            <w:proofErr w:type="gramStart"/>
            <w:r w:rsidRPr="006B2C90">
              <w:rPr>
                <w:rFonts w:hAnsi="宋体" w:cs="宋体" w:hint="eastAsia"/>
                <w:sz w:val="22"/>
              </w:rPr>
              <w:t>控要求</w:t>
            </w:r>
            <w:proofErr w:type="gramEnd"/>
          </w:p>
        </w:tc>
        <w:tc>
          <w:tcPr>
            <w:tcW w:w="7650" w:type="dxa"/>
            <w:vAlign w:val="center"/>
          </w:tcPr>
          <w:p w:rsidR="00EA7C1B" w:rsidRPr="00A5470B" w:rsidRDefault="00EA7C1B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 w:rsidRPr="006B2C90">
              <w:rPr>
                <w:rFonts w:ascii="宋体" w:hAnsi="宋体" w:hint="eastAsia"/>
                <w:sz w:val="22"/>
              </w:rPr>
              <w:t>投标方在项目的</w:t>
            </w:r>
            <w:r w:rsidRPr="00A5470B">
              <w:rPr>
                <w:rFonts w:ascii="宋体" w:hAnsi="宋体" w:hint="eastAsia"/>
                <w:sz w:val="22"/>
              </w:rPr>
              <w:t>整个检测流程</w:t>
            </w:r>
            <w:r w:rsidRPr="006B2C90">
              <w:rPr>
                <w:rFonts w:ascii="宋体" w:hAnsi="宋体" w:hint="eastAsia"/>
                <w:sz w:val="22"/>
              </w:rPr>
              <w:t>中</w:t>
            </w:r>
            <w:r w:rsidRPr="00A5470B">
              <w:rPr>
                <w:rFonts w:ascii="宋体" w:hAnsi="宋体" w:hint="eastAsia"/>
                <w:sz w:val="22"/>
              </w:rPr>
              <w:t>有明确、详细、可行、合理的质</w:t>
            </w:r>
            <w:proofErr w:type="gramStart"/>
            <w:r w:rsidRPr="00A5470B">
              <w:rPr>
                <w:rFonts w:ascii="宋体" w:hAnsi="宋体" w:hint="eastAsia"/>
                <w:sz w:val="22"/>
              </w:rPr>
              <w:t>控方案</w:t>
            </w:r>
            <w:proofErr w:type="gramEnd"/>
            <w:r w:rsidRPr="00A5470B">
              <w:rPr>
                <w:rFonts w:ascii="宋体" w:hAnsi="宋体" w:hint="eastAsia"/>
                <w:sz w:val="22"/>
              </w:rPr>
              <w:t>和</w:t>
            </w:r>
            <w:proofErr w:type="gramStart"/>
            <w:r w:rsidRPr="00A5470B">
              <w:rPr>
                <w:rFonts w:ascii="宋体" w:hAnsi="宋体" w:hint="eastAsia"/>
                <w:sz w:val="22"/>
              </w:rPr>
              <w:t>质控</w:t>
            </w:r>
            <w:proofErr w:type="gramEnd"/>
            <w:r w:rsidRPr="00A5470B">
              <w:rPr>
                <w:rFonts w:ascii="宋体" w:hAnsi="宋体" w:hint="eastAsia"/>
                <w:sz w:val="22"/>
              </w:rPr>
              <w:t>指标，包括样本接收、DNA样本质量核查、核查完整记录等。</w:t>
            </w:r>
          </w:p>
          <w:p w:rsidR="00EA7C1B" w:rsidRPr="00A5470B" w:rsidRDefault="00EA7C1B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 w:rsidRPr="006B2C90">
              <w:rPr>
                <w:rFonts w:ascii="宋体" w:hAnsi="宋体" w:hint="eastAsia"/>
                <w:sz w:val="22"/>
              </w:rPr>
              <w:t>拥有CAP，15189质量双认证，完备的</w:t>
            </w:r>
            <w:proofErr w:type="gramStart"/>
            <w:r w:rsidRPr="006B2C90">
              <w:rPr>
                <w:rFonts w:ascii="宋体" w:hAnsi="宋体" w:hint="eastAsia"/>
                <w:sz w:val="22"/>
              </w:rPr>
              <w:t>室内质</w:t>
            </w:r>
            <w:proofErr w:type="gramEnd"/>
            <w:r w:rsidRPr="006B2C90">
              <w:rPr>
                <w:rFonts w:ascii="宋体" w:hAnsi="宋体" w:hint="eastAsia"/>
                <w:sz w:val="22"/>
              </w:rPr>
              <w:t>控体系等实验室质量认证</w:t>
            </w:r>
          </w:p>
          <w:p w:rsidR="00EA7C1B" w:rsidRPr="00A5470B" w:rsidRDefault="00EA7C1B" w:rsidP="00081404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 w:rsidRPr="00A5470B">
              <w:rPr>
                <w:rFonts w:ascii="宋体" w:hAnsi="宋体" w:hint="eastAsia"/>
                <w:sz w:val="22"/>
              </w:rPr>
              <w:t>投标方</w:t>
            </w:r>
            <w:r w:rsidR="00081404">
              <w:rPr>
                <w:rFonts w:ascii="宋体" w:hAnsi="宋体" w:hint="eastAsia"/>
                <w:sz w:val="22"/>
              </w:rPr>
              <w:t>提供在该领域完成的项目的</w:t>
            </w:r>
            <w:r w:rsidRPr="00A5470B">
              <w:rPr>
                <w:rFonts w:ascii="宋体" w:hAnsi="宋体" w:hint="eastAsia"/>
                <w:sz w:val="22"/>
              </w:rPr>
              <w:t>临床检测及数据分析</w:t>
            </w:r>
            <w:r w:rsidR="00081404">
              <w:rPr>
                <w:rFonts w:ascii="宋体" w:hAnsi="宋体" w:hint="eastAsia"/>
                <w:sz w:val="22"/>
              </w:rPr>
              <w:t>成果</w:t>
            </w:r>
            <w:r w:rsidRPr="00A5470B">
              <w:rPr>
                <w:rFonts w:ascii="宋体" w:hAnsi="宋体" w:hint="eastAsia"/>
                <w:sz w:val="22"/>
              </w:rPr>
              <w:t>，并提供书面证明；</w:t>
            </w:r>
            <w:r w:rsidR="00081404" w:rsidRPr="00A5470B">
              <w:rPr>
                <w:rFonts w:ascii="宋体" w:hAnsi="宋体"/>
                <w:sz w:val="22"/>
              </w:rPr>
              <w:t xml:space="preserve"> </w:t>
            </w:r>
          </w:p>
        </w:tc>
      </w:tr>
      <w:tr w:rsidR="00EA7C1B" w:rsidRPr="006B2C90" w:rsidTr="007E06C7">
        <w:trPr>
          <w:trHeight w:val="445"/>
        </w:trPr>
        <w:tc>
          <w:tcPr>
            <w:tcW w:w="1809" w:type="dxa"/>
            <w:vAlign w:val="center"/>
          </w:tcPr>
          <w:p w:rsidR="00EA7C1B" w:rsidRPr="006B2C90" w:rsidRDefault="00EA7C1B" w:rsidP="007E06C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Ansi="宋体" w:cs="宋体"/>
                <w:sz w:val="22"/>
              </w:rPr>
            </w:pPr>
            <w:r w:rsidRPr="006B2C90">
              <w:rPr>
                <w:rFonts w:hAnsi="宋体" w:cs="宋体" w:hint="eastAsia"/>
                <w:sz w:val="22"/>
              </w:rPr>
              <w:t>技术服务能力要求</w:t>
            </w:r>
          </w:p>
        </w:tc>
        <w:tc>
          <w:tcPr>
            <w:tcW w:w="7650" w:type="dxa"/>
            <w:vAlign w:val="center"/>
          </w:tcPr>
          <w:p w:rsidR="00EA7C1B" w:rsidRPr="00A5470B" w:rsidRDefault="00EA7C1B" w:rsidP="00A5470B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 w:rsidRPr="006B2C90">
              <w:rPr>
                <w:rFonts w:ascii="宋体" w:hAnsi="宋体" w:hint="eastAsia"/>
                <w:sz w:val="22"/>
              </w:rPr>
              <w:t>对采购</w:t>
            </w:r>
            <w:proofErr w:type="gramStart"/>
            <w:r w:rsidRPr="006B2C90">
              <w:rPr>
                <w:rFonts w:ascii="宋体" w:hAnsi="宋体" w:hint="eastAsia"/>
                <w:sz w:val="22"/>
              </w:rPr>
              <w:t>方</w:t>
            </w:r>
            <w:r w:rsidRPr="00A5470B">
              <w:rPr>
                <w:rFonts w:ascii="宋体" w:hAnsi="宋体" w:hint="eastAsia"/>
                <w:sz w:val="22"/>
              </w:rPr>
              <w:t>任何</w:t>
            </w:r>
            <w:proofErr w:type="gramEnd"/>
            <w:r w:rsidRPr="00A5470B">
              <w:rPr>
                <w:rFonts w:ascii="宋体" w:hAnsi="宋体" w:hint="eastAsia"/>
                <w:sz w:val="22"/>
              </w:rPr>
              <w:t>硬件及软件问题需2小时内响应，48小时内上门维修；</w:t>
            </w:r>
          </w:p>
          <w:p w:rsidR="00EA7C1B" w:rsidRPr="00A5470B" w:rsidRDefault="00EA7C1B" w:rsidP="00AE5516">
            <w:pPr>
              <w:pStyle w:val="a7"/>
              <w:numPr>
                <w:ilvl w:val="0"/>
                <w:numId w:val="1"/>
              </w:numPr>
              <w:ind w:left="418" w:hangingChars="190" w:hanging="418"/>
              <w:rPr>
                <w:rFonts w:ascii="宋体" w:hAnsi="宋体"/>
                <w:sz w:val="22"/>
              </w:rPr>
            </w:pPr>
            <w:r w:rsidRPr="00A5470B">
              <w:rPr>
                <w:rFonts w:ascii="宋体" w:hAnsi="宋体" w:hint="eastAsia"/>
                <w:sz w:val="22"/>
              </w:rPr>
              <w:t>投标方</w:t>
            </w:r>
            <w:r w:rsidRPr="006B2C90">
              <w:rPr>
                <w:rFonts w:ascii="宋体" w:hAnsi="宋体" w:hint="eastAsia"/>
                <w:sz w:val="22"/>
              </w:rPr>
              <w:t>对采购方</w:t>
            </w:r>
            <w:r w:rsidRPr="00A5470B">
              <w:rPr>
                <w:rFonts w:ascii="宋体" w:hAnsi="宋体" w:hint="eastAsia"/>
                <w:sz w:val="22"/>
              </w:rPr>
              <w:t>进行</w:t>
            </w:r>
            <w:r w:rsidRPr="006B2C90">
              <w:rPr>
                <w:rFonts w:ascii="宋体" w:hAnsi="宋体" w:hint="eastAsia"/>
                <w:sz w:val="22"/>
              </w:rPr>
              <w:t>的</w:t>
            </w:r>
            <w:r w:rsidRPr="00A5470B">
              <w:rPr>
                <w:rFonts w:ascii="宋体" w:hAnsi="宋体" w:hint="eastAsia"/>
                <w:sz w:val="22"/>
              </w:rPr>
              <w:t>相关培训（生物信息学分析、IT常见问题处理、临床分析等）及投标方后期在</w:t>
            </w:r>
            <w:proofErr w:type="gramStart"/>
            <w:r w:rsidRPr="00A5470B">
              <w:rPr>
                <w:rFonts w:ascii="宋体" w:hAnsi="宋体" w:hint="eastAsia"/>
                <w:sz w:val="22"/>
              </w:rPr>
              <w:t>本地对</w:t>
            </w:r>
            <w:proofErr w:type="gramEnd"/>
            <w:r w:rsidRPr="00A5470B">
              <w:rPr>
                <w:rFonts w:ascii="宋体" w:hAnsi="宋体" w:hint="eastAsia"/>
                <w:sz w:val="22"/>
              </w:rPr>
              <w:t>采购方的技术支持、维护等，采购方</w:t>
            </w:r>
            <w:proofErr w:type="gramStart"/>
            <w:r w:rsidRPr="00A5470B">
              <w:rPr>
                <w:rFonts w:ascii="宋体" w:hAnsi="宋体" w:hint="eastAsia"/>
                <w:sz w:val="22"/>
              </w:rPr>
              <w:t>不</w:t>
            </w:r>
            <w:proofErr w:type="gramEnd"/>
            <w:r w:rsidRPr="00A5470B">
              <w:rPr>
                <w:rFonts w:ascii="宋体" w:hAnsi="宋体" w:hint="eastAsia"/>
                <w:sz w:val="22"/>
              </w:rPr>
              <w:t>额外支付任何费用。</w:t>
            </w:r>
          </w:p>
        </w:tc>
      </w:tr>
      <w:tr w:rsidR="00EA7C1B" w:rsidRPr="006B2C90" w:rsidTr="007E06C7">
        <w:trPr>
          <w:trHeight w:val="1489"/>
        </w:trPr>
        <w:tc>
          <w:tcPr>
            <w:tcW w:w="1809" w:type="dxa"/>
            <w:vAlign w:val="center"/>
          </w:tcPr>
          <w:p w:rsidR="00EA7C1B" w:rsidRPr="006B2C90" w:rsidRDefault="00EA7C1B" w:rsidP="000D4A3E">
            <w:pPr>
              <w:autoSpaceDE w:val="0"/>
              <w:autoSpaceDN w:val="0"/>
              <w:adjustRightInd w:val="0"/>
              <w:spacing w:line="440" w:lineRule="exact"/>
              <w:ind w:left="459"/>
              <w:rPr>
                <w:rFonts w:hAnsi="宋体" w:cs="宋体"/>
                <w:sz w:val="22"/>
              </w:rPr>
            </w:pPr>
            <w:r w:rsidRPr="006B2C90">
              <w:rPr>
                <w:rFonts w:hAnsi="宋体" w:cs="宋体" w:hint="eastAsia"/>
                <w:sz w:val="22"/>
              </w:rPr>
              <w:t>其他</w:t>
            </w:r>
          </w:p>
        </w:tc>
        <w:tc>
          <w:tcPr>
            <w:tcW w:w="7650" w:type="dxa"/>
            <w:vAlign w:val="center"/>
          </w:tcPr>
          <w:p w:rsidR="003B1B8F" w:rsidRDefault="003B1B8F" w:rsidP="003B1B8F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 w:rsidRPr="006B2C90">
              <w:rPr>
                <w:rFonts w:ascii="宋体" w:hAnsi="宋体" w:hint="eastAsia"/>
                <w:sz w:val="22"/>
              </w:rPr>
              <w:t>投标方</w:t>
            </w:r>
            <w:r>
              <w:rPr>
                <w:rFonts w:ascii="宋体" w:hAnsi="宋体" w:hint="eastAsia"/>
                <w:sz w:val="22"/>
              </w:rPr>
              <w:t>需提供整体检测</w:t>
            </w:r>
            <w:r w:rsidRPr="003B1B8F">
              <w:rPr>
                <w:rFonts w:ascii="宋体" w:hAnsi="宋体" w:hint="eastAsia"/>
                <w:sz w:val="22"/>
              </w:rPr>
              <w:t>服务</w:t>
            </w:r>
            <w:r>
              <w:rPr>
                <w:rFonts w:ascii="宋体" w:hAnsi="宋体" w:hint="eastAsia"/>
                <w:sz w:val="22"/>
              </w:rPr>
              <w:t>，包括测序、分析及出具检测报告，报告中至少应包含6条基因分析结果；</w:t>
            </w:r>
          </w:p>
          <w:p w:rsidR="003B1B8F" w:rsidRDefault="003B1B8F" w:rsidP="003B1B8F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项目</w:t>
            </w:r>
            <w:r w:rsidRPr="003B1B8F">
              <w:rPr>
                <w:rFonts w:ascii="宋体" w:hAnsi="宋体" w:hint="eastAsia"/>
                <w:sz w:val="22"/>
              </w:rPr>
              <w:t>服务</w:t>
            </w:r>
            <w:r>
              <w:rPr>
                <w:rFonts w:ascii="宋体" w:hAnsi="宋体" w:hint="eastAsia"/>
                <w:sz w:val="22"/>
              </w:rPr>
              <w:t>期</w:t>
            </w:r>
            <w:r w:rsidRPr="003B1B8F">
              <w:rPr>
                <w:rFonts w:ascii="宋体" w:hAnsi="宋体" w:hint="eastAsia"/>
                <w:sz w:val="22"/>
              </w:rPr>
              <w:t>为</w:t>
            </w:r>
            <w:r>
              <w:rPr>
                <w:rFonts w:ascii="宋体" w:hAnsi="宋体" w:hint="eastAsia"/>
                <w:sz w:val="22"/>
              </w:rPr>
              <w:t>三年；</w:t>
            </w:r>
          </w:p>
          <w:p w:rsidR="00EA7C1B" w:rsidRPr="000301CC" w:rsidRDefault="00EA7C1B" w:rsidP="000301CC">
            <w:pPr>
              <w:pStyle w:val="a7"/>
              <w:numPr>
                <w:ilvl w:val="0"/>
                <w:numId w:val="1"/>
              </w:numPr>
              <w:tabs>
                <w:tab w:val="left" w:pos="540"/>
              </w:tabs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2"/>
              </w:rPr>
            </w:pPr>
            <w:r w:rsidRPr="006B2C90">
              <w:rPr>
                <w:rFonts w:ascii="宋体" w:hAnsi="宋体" w:hint="eastAsia"/>
                <w:sz w:val="22"/>
              </w:rPr>
              <w:t>投标方应为</w:t>
            </w:r>
            <w:r w:rsidRPr="00A5470B">
              <w:rPr>
                <w:rFonts w:ascii="宋体" w:hAnsi="宋体" w:hint="eastAsia"/>
                <w:sz w:val="22"/>
              </w:rPr>
              <w:t>检测数据提供为期</w:t>
            </w:r>
            <w:r w:rsidRPr="006B2C90">
              <w:rPr>
                <w:rFonts w:ascii="宋体" w:hAnsi="宋体" w:hint="eastAsia"/>
                <w:sz w:val="22"/>
              </w:rPr>
              <w:t>两</w:t>
            </w:r>
            <w:r w:rsidRPr="00A5470B">
              <w:rPr>
                <w:rFonts w:ascii="宋体" w:hAnsi="宋体" w:hint="eastAsia"/>
                <w:sz w:val="22"/>
              </w:rPr>
              <w:t>年</w:t>
            </w:r>
            <w:r w:rsidRPr="006B2C90">
              <w:rPr>
                <w:rFonts w:ascii="宋体" w:hAnsi="宋体" w:hint="eastAsia"/>
                <w:sz w:val="22"/>
              </w:rPr>
              <w:t>两次</w:t>
            </w:r>
            <w:r w:rsidRPr="00A5470B">
              <w:rPr>
                <w:rFonts w:ascii="宋体" w:hAnsi="宋体" w:hint="eastAsia"/>
                <w:sz w:val="22"/>
              </w:rPr>
              <w:t>的免费再分析服务。</w:t>
            </w:r>
          </w:p>
        </w:tc>
      </w:tr>
    </w:tbl>
    <w:p w:rsidR="00EA7C1B" w:rsidRPr="006B2C90" w:rsidRDefault="00EA7C1B" w:rsidP="00EA7C1B">
      <w:pPr>
        <w:rPr>
          <w:rFonts w:ascii="Times New Roman" w:hAnsi="Times New Roman"/>
          <w:b/>
          <w:sz w:val="30"/>
          <w:szCs w:val="30"/>
        </w:rPr>
      </w:pPr>
    </w:p>
    <w:p w:rsidR="00687FA9" w:rsidRPr="00EA7C1B" w:rsidRDefault="00687FA9"/>
    <w:sectPr w:rsidR="00687FA9" w:rsidRPr="00EA7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FC" w:rsidRDefault="002079FC" w:rsidP="00EA7C1B">
      <w:r>
        <w:separator/>
      </w:r>
    </w:p>
  </w:endnote>
  <w:endnote w:type="continuationSeparator" w:id="0">
    <w:p w:rsidR="002079FC" w:rsidRDefault="002079FC" w:rsidP="00EA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FC" w:rsidRDefault="002079FC" w:rsidP="00EA7C1B">
      <w:r>
        <w:separator/>
      </w:r>
    </w:p>
  </w:footnote>
  <w:footnote w:type="continuationSeparator" w:id="0">
    <w:p w:rsidR="002079FC" w:rsidRDefault="002079FC" w:rsidP="00EA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702147"/>
    <w:multiLevelType w:val="singleLevel"/>
    <w:tmpl w:val="EB7021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CC5FD73"/>
    <w:multiLevelType w:val="singleLevel"/>
    <w:tmpl w:val="1CC5FD73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5F"/>
    <w:rsid w:val="000301CC"/>
    <w:rsid w:val="0005778D"/>
    <w:rsid w:val="00074223"/>
    <w:rsid w:val="00081404"/>
    <w:rsid w:val="000D4A3E"/>
    <w:rsid w:val="000E5B77"/>
    <w:rsid w:val="000F01B8"/>
    <w:rsid w:val="002079FC"/>
    <w:rsid w:val="00341EB0"/>
    <w:rsid w:val="003B1B8F"/>
    <w:rsid w:val="00413C5F"/>
    <w:rsid w:val="0048311F"/>
    <w:rsid w:val="004B12B1"/>
    <w:rsid w:val="004E60E5"/>
    <w:rsid w:val="005030DF"/>
    <w:rsid w:val="005B6FBB"/>
    <w:rsid w:val="00650064"/>
    <w:rsid w:val="00687FA9"/>
    <w:rsid w:val="007851DE"/>
    <w:rsid w:val="007D75FA"/>
    <w:rsid w:val="007E06C7"/>
    <w:rsid w:val="00827663"/>
    <w:rsid w:val="0086659A"/>
    <w:rsid w:val="008832B9"/>
    <w:rsid w:val="009D0F0C"/>
    <w:rsid w:val="00A50460"/>
    <w:rsid w:val="00A5470B"/>
    <w:rsid w:val="00A92C1D"/>
    <w:rsid w:val="00AE5516"/>
    <w:rsid w:val="00B04BAB"/>
    <w:rsid w:val="00B602FA"/>
    <w:rsid w:val="00BF45CE"/>
    <w:rsid w:val="00C904D4"/>
    <w:rsid w:val="00D14E74"/>
    <w:rsid w:val="00D3016D"/>
    <w:rsid w:val="00D410D0"/>
    <w:rsid w:val="00D44048"/>
    <w:rsid w:val="00DB4C57"/>
    <w:rsid w:val="00DC00C3"/>
    <w:rsid w:val="00EA7C1B"/>
    <w:rsid w:val="00EB4EFF"/>
    <w:rsid w:val="00F21239"/>
    <w:rsid w:val="00F26A0A"/>
    <w:rsid w:val="00F3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7C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A7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A7C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7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A7C1B"/>
    <w:rPr>
      <w:sz w:val="18"/>
      <w:szCs w:val="18"/>
    </w:rPr>
  </w:style>
  <w:style w:type="paragraph" w:styleId="a0">
    <w:name w:val="Block Text"/>
    <w:basedOn w:val="a"/>
    <w:next w:val="a"/>
    <w:uiPriority w:val="99"/>
    <w:unhideWhenUsed/>
    <w:qFormat/>
    <w:rsid w:val="00EA7C1B"/>
    <w:pPr>
      <w:spacing w:after="120"/>
      <w:ind w:leftChars="700" w:left="1440" w:rightChars="700" w:right="1440"/>
    </w:pPr>
  </w:style>
  <w:style w:type="paragraph" w:styleId="a6">
    <w:name w:val="Plain Text"/>
    <w:basedOn w:val="a"/>
    <w:link w:val="Char1"/>
    <w:qFormat/>
    <w:rsid w:val="00EA7C1B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character" w:customStyle="1" w:styleId="Char1">
    <w:name w:val="纯文本 Char"/>
    <w:basedOn w:val="a1"/>
    <w:link w:val="a6"/>
    <w:qFormat/>
    <w:rsid w:val="00EA7C1B"/>
    <w:rPr>
      <w:rFonts w:ascii="宋体" w:eastAsia="宋体" w:hAnsi="Courier New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EA7C1B"/>
    <w:pPr>
      <w:ind w:firstLineChars="200" w:firstLine="420"/>
    </w:pPr>
  </w:style>
  <w:style w:type="paragraph" w:customStyle="1" w:styleId="ListParagraph2">
    <w:name w:val="List Paragraph2"/>
    <w:basedOn w:val="a"/>
    <w:uiPriority w:val="34"/>
    <w:qFormat/>
    <w:rsid w:val="00EA7C1B"/>
    <w:pPr>
      <w:widowControl/>
      <w:ind w:firstLineChars="200" w:firstLine="420"/>
      <w:jc w:val="left"/>
    </w:pPr>
    <w:rPr>
      <w:rFonts w:ascii="Times New Roman" w:hAnsi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A7C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A7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A7C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A7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A7C1B"/>
    <w:rPr>
      <w:sz w:val="18"/>
      <w:szCs w:val="18"/>
    </w:rPr>
  </w:style>
  <w:style w:type="paragraph" w:styleId="a0">
    <w:name w:val="Block Text"/>
    <w:basedOn w:val="a"/>
    <w:next w:val="a"/>
    <w:uiPriority w:val="99"/>
    <w:unhideWhenUsed/>
    <w:qFormat/>
    <w:rsid w:val="00EA7C1B"/>
    <w:pPr>
      <w:spacing w:after="120"/>
      <w:ind w:leftChars="700" w:left="1440" w:rightChars="700" w:right="1440"/>
    </w:pPr>
  </w:style>
  <w:style w:type="paragraph" w:styleId="a6">
    <w:name w:val="Plain Text"/>
    <w:basedOn w:val="a"/>
    <w:link w:val="Char1"/>
    <w:qFormat/>
    <w:rsid w:val="00EA7C1B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character" w:customStyle="1" w:styleId="Char1">
    <w:name w:val="纯文本 Char"/>
    <w:basedOn w:val="a1"/>
    <w:link w:val="a6"/>
    <w:qFormat/>
    <w:rsid w:val="00EA7C1B"/>
    <w:rPr>
      <w:rFonts w:ascii="宋体" w:eastAsia="宋体" w:hAnsi="Courier New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EA7C1B"/>
    <w:pPr>
      <w:ind w:firstLineChars="200" w:firstLine="420"/>
    </w:pPr>
  </w:style>
  <w:style w:type="paragraph" w:customStyle="1" w:styleId="ListParagraph2">
    <w:name w:val="List Paragraph2"/>
    <w:basedOn w:val="a"/>
    <w:uiPriority w:val="34"/>
    <w:qFormat/>
    <w:rsid w:val="00EA7C1B"/>
    <w:pPr>
      <w:widowControl/>
      <w:ind w:firstLineChars="200" w:firstLine="420"/>
      <w:jc w:val="left"/>
    </w:pPr>
    <w:rPr>
      <w:rFonts w:ascii="Times New Roman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2023-05-10T03:25:00Z</dcterms:created>
  <dcterms:modified xsi:type="dcterms:W3CDTF">2023-07-31T01:19:00Z</dcterms:modified>
</cp:coreProperties>
</file>