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D5" w:rsidRDefault="006424E5" w:rsidP="006C6C89">
      <w:pPr>
        <w:spacing w:line="360" w:lineRule="auto"/>
        <w:jc w:val="center"/>
        <w:rPr>
          <w:rFonts w:ascii="宋体" w:eastAsia="宋体" w:hAnsi="宋体"/>
          <w:sz w:val="24"/>
          <w:szCs w:val="24"/>
        </w:rPr>
      </w:pPr>
      <w:r>
        <w:rPr>
          <w:rFonts w:ascii="宋体" w:eastAsia="宋体" w:hAnsi="宋体" w:hint="eastAsia"/>
          <w:sz w:val="24"/>
          <w:szCs w:val="24"/>
        </w:rPr>
        <w:t>采购需求</w:t>
      </w:r>
    </w:p>
    <w:p w:rsidR="00FB4AD5" w:rsidRPr="00C97C14" w:rsidRDefault="00C97C14" w:rsidP="00C97C14">
      <w:pPr>
        <w:spacing w:line="360" w:lineRule="auto"/>
        <w:rPr>
          <w:rFonts w:ascii="宋体" w:eastAsia="宋体" w:hAnsi="宋体"/>
          <w:sz w:val="24"/>
          <w:szCs w:val="24"/>
        </w:rPr>
      </w:pPr>
      <w:r>
        <w:rPr>
          <w:rFonts w:ascii="宋体" w:eastAsia="宋体" w:hAnsi="宋体" w:hint="eastAsia"/>
          <w:sz w:val="24"/>
          <w:szCs w:val="24"/>
        </w:rPr>
        <w:t>一、</w:t>
      </w:r>
      <w:r w:rsidR="00640371" w:rsidRPr="00C97C14">
        <w:rPr>
          <w:rFonts w:ascii="宋体" w:eastAsia="宋体" w:hAnsi="宋体" w:hint="eastAsia"/>
          <w:sz w:val="24"/>
          <w:szCs w:val="24"/>
        </w:rPr>
        <w:t>项目背景</w:t>
      </w:r>
    </w:p>
    <w:p w:rsidR="00FB4AD5" w:rsidRDefault="00640371" w:rsidP="006C6C89">
      <w:pPr>
        <w:spacing w:line="360" w:lineRule="auto"/>
        <w:ind w:firstLineChars="202" w:firstLine="485"/>
        <w:rPr>
          <w:rFonts w:ascii="宋体" w:eastAsia="宋体" w:hAnsi="宋体"/>
          <w:sz w:val="24"/>
          <w:szCs w:val="24"/>
        </w:rPr>
      </w:pPr>
      <w:r>
        <w:rPr>
          <w:rFonts w:ascii="宋体" w:eastAsia="宋体" w:hAnsi="宋体" w:hint="eastAsia"/>
          <w:sz w:val="24"/>
          <w:szCs w:val="24"/>
        </w:rPr>
        <w:t>课题“母乳</w:t>
      </w:r>
      <w:r w:rsidR="00565BEC">
        <w:rPr>
          <w:rFonts w:ascii="宋体" w:eastAsia="宋体" w:hAnsi="宋体" w:hint="eastAsia"/>
          <w:sz w:val="24"/>
          <w:szCs w:val="24"/>
        </w:rPr>
        <w:t>喂养与儿童生命全周期肥胖相关健康结局的多组学队列研究”</w:t>
      </w:r>
      <w:r>
        <w:rPr>
          <w:rFonts w:ascii="宋体" w:eastAsia="宋体" w:hAnsi="宋体" w:hint="eastAsia"/>
          <w:sz w:val="24"/>
          <w:szCs w:val="24"/>
        </w:rPr>
        <w:t>，已初步完成人群队列样本采集。为开展微生物及其代谢产物对宿主健康与疾病的影响研究，筛选生物标志物及临床用药靶点，需对样本进行血液微生物及其代谢组学检测，以提供基础研究数据。</w:t>
      </w:r>
    </w:p>
    <w:p w:rsidR="00FB4AD5" w:rsidRPr="00C97C14" w:rsidRDefault="00C97C14" w:rsidP="00C97C14">
      <w:pPr>
        <w:spacing w:line="360" w:lineRule="auto"/>
        <w:rPr>
          <w:rFonts w:ascii="宋体" w:eastAsia="宋体" w:hAnsi="宋体"/>
          <w:sz w:val="24"/>
          <w:szCs w:val="24"/>
        </w:rPr>
      </w:pPr>
      <w:r>
        <w:rPr>
          <w:rFonts w:ascii="宋体" w:eastAsia="宋体" w:hAnsi="宋体" w:hint="eastAsia"/>
          <w:sz w:val="24"/>
          <w:szCs w:val="24"/>
        </w:rPr>
        <w:t>二、</w:t>
      </w:r>
      <w:r w:rsidR="00640371" w:rsidRPr="00C97C14">
        <w:rPr>
          <w:rFonts w:ascii="宋体" w:eastAsia="宋体" w:hAnsi="宋体" w:hint="eastAsia"/>
          <w:sz w:val="24"/>
          <w:szCs w:val="24"/>
        </w:rPr>
        <w:t>需求一览表</w:t>
      </w:r>
    </w:p>
    <w:tbl>
      <w:tblPr>
        <w:tblStyle w:val="a5"/>
        <w:tblW w:w="0" w:type="auto"/>
        <w:tblLook w:val="04A0" w:firstRow="1" w:lastRow="0" w:firstColumn="1" w:lastColumn="0" w:noHBand="0" w:noVBand="1"/>
      </w:tblPr>
      <w:tblGrid>
        <w:gridCol w:w="959"/>
        <w:gridCol w:w="3544"/>
        <w:gridCol w:w="3402"/>
        <w:gridCol w:w="1984"/>
      </w:tblGrid>
      <w:tr w:rsidR="00FB4AD5">
        <w:trPr>
          <w:trHeight w:val="584"/>
        </w:trPr>
        <w:tc>
          <w:tcPr>
            <w:tcW w:w="959" w:type="dxa"/>
            <w:vAlign w:val="center"/>
          </w:tcPr>
          <w:p w:rsidR="00FB4AD5" w:rsidRDefault="00640371" w:rsidP="006C6C89">
            <w:pPr>
              <w:spacing w:line="360" w:lineRule="auto"/>
              <w:jc w:val="center"/>
              <w:rPr>
                <w:rFonts w:ascii="宋体" w:hAnsi="宋体"/>
                <w:sz w:val="24"/>
                <w:szCs w:val="24"/>
              </w:rPr>
            </w:pPr>
            <w:r>
              <w:rPr>
                <w:rFonts w:ascii="宋体" w:hAnsi="宋体" w:hint="eastAsia"/>
                <w:sz w:val="24"/>
                <w:szCs w:val="24"/>
              </w:rPr>
              <w:t>序号</w:t>
            </w:r>
          </w:p>
        </w:tc>
        <w:tc>
          <w:tcPr>
            <w:tcW w:w="3544" w:type="dxa"/>
            <w:vAlign w:val="center"/>
          </w:tcPr>
          <w:p w:rsidR="00FB4AD5" w:rsidRDefault="00640371" w:rsidP="006C6C89">
            <w:pPr>
              <w:spacing w:line="360" w:lineRule="auto"/>
              <w:jc w:val="center"/>
              <w:rPr>
                <w:rFonts w:ascii="宋体" w:hAnsi="宋体"/>
                <w:sz w:val="24"/>
                <w:szCs w:val="24"/>
              </w:rPr>
            </w:pPr>
            <w:r>
              <w:rPr>
                <w:rFonts w:ascii="宋体" w:hAnsi="宋体" w:hint="eastAsia"/>
                <w:sz w:val="24"/>
                <w:szCs w:val="24"/>
              </w:rPr>
              <w:t>货物名称</w:t>
            </w:r>
          </w:p>
        </w:tc>
        <w:tc>
          <w:tcPr>
            <w:tcW w:w="3402" w:type="dxa"/>
            <w:vAlign w:val="center"/>
          </w:tcPr>
          <w:p w:rsidR="00FB4AD5" w:rsidRDefault="00640371" w:rsidP="006C6C89">
            <w:pPr>
              <w:spacing w:line="360" w:lineRule="auto"/>
              <w:jc w:val="center"/>
              <w:rPr>
                <w:rFonts w:ascii="宋体" w:hAnsi="宋体"/>
                <w:sz w:val="24"/>
                <w:szCs w:val="24"/>
              </w:rPr>
            </w:pPr>
            <w:r>
              <w:rPr>
                <w:rFonts w:ascii="宋体" w:hAnsi="宋体" w:hint="eastAsia"/>
                <w:sz w:val="24"/>
                <w:szCs w:val="24"/>
              </w:rPr>
              <w:t>参数要求</w:t>
            </w:r>
          </w:p>
        </w:tc>
        <w:tc>
          <w:tcPr>
            <w:tcW w:w="1984" w:type="dxa"/>
            <w:vAlign w:val="center"/>
          </w:tcPr>
          <w:p w:rsidR="00FB4AD5" w:rsidRDefault="00640371" w:rsidP="006C6C89">
            <w:pPr>
              <w:spacing w:line="360" w:lineRule="auto"/>
              <w:jc w:val="center"/>
              <w:rPr>
                <w:rFonts w:ascii="宋体" w:hAnsi="宋体"/>
                <w:sz w:val="24"/>
                <w:szCs w:val="24"/>
              </w:rPr>
            </w:pPr>
            <w:r>
              <w:rPr>
                <w:rFonts w:ascii="宋体" w:hAnsi="宋体" w:hint="eastAsia"/>
                <w:sz w:val="24"/>
                <w:szCs w:val="24"/>
              </w:rPr>
              <w:t>数量</w:t>
            </w:r>
          </w:p>
        </w:tc>
      </w:tr>
      <w:tr w:rsidR="00FB4AD5">
        <w:trPr>
          <w:trHeight w:val="830"/>
        </w:trPr>
        <w:tc>
          <w:tcPr>
            <w:tcW w:w="959" w:type="dxa"/>
            <w:vAlign w:val="center"/>
          </w:tcPr>
          <w:p w:rsidR="00FB4AD5" w:rsidRDefault="00640371" w:rsidP="006C6C89">
            <w:pPr>
              <w:spacing w:line="360" w:lineRule="auto"/>
              <w:jc w:val="center"/>
              <w:rPr>
                <w:rFonts w:ascii="宋体" w:hAnsi="宋体"/>
                <w:sz w:val="24"/>
                <w:szCs w:val="24"/>
              </w:rPr>
            </w:pPr>
            <w:r>
              <w:rPr>
                <w:rFonts w:ascii="宋体" w:hAnsi="宋体" w:hint="eastAsia"/>
                <w:sz w:val="24"/>
                <w:szCs w:val="24"/>
              </w:rPr>
              <w:t>1</w:t>
            </w:r>
          </w:p>
        </w:tc>
        <w:tc>
          <w:tcPr>
            <w:tcW w:w="3544" w:type="dxa"/>
            <w:vAlign w:val="center"/>
          </w:tcPr>
          <w:p w:rsidR="00FB4AD5" w:rsidRDefault="00640371" w:rsidP="006C6C89">
            <w:pPr>
              <w:spacing w:line="360" w:lineRule="auto"/>
              <w:jc w:val="center"/>
              <w:rPr>
                <w:rFonts w:ascii="宋体" w:hAnsi="宋体"/>
                <w:sz w:val="24"/>
                <w:szCs w:val="24"/>
              </w:rPr>
            </w:pPr>
            <w:r>
              <w:rPr>
                <w:rFonts w:ascii="宋体" w:hAnsi="宋体" w:hint="eastAsia"/>
                <w:sz w:val="24"/>
                <w:szCs w:val="24"/>
              </w:rPr>
              <w:t>血液微生物组检测</w:t>
            </w:r>
          </w:p>
        </w:tc>
        <w:tc>
          <w:tcPr>
            <w:tcW w:w="3402" w:type="dxa"/>
            <w:vAlign w:val="center"/>
          </w:tcPr>
          <w:p w:rsidR="00FB4AD5" w:rsidRDefault="00640371" w:rsidP="006C6C89">
            <w:pPr>
              <w:spacing w:line="360" w:lineRule="auto"/>
              <w:jc w:val="center"/>
              <w:rPr>
                <w:rFonts w:ascii="宋体" w:hAnsi="宋体"/>
                <w:sz w:val="24"/>
                <w:szCs w:val="24"/>
              </w:rPr>
            </w:pPr>
            <w:r>
              <w:rPr>
                <w:rFonts w:ascii="宋体" w:hAnsi="宋体" w:hint="eastAsia"/>
                <w:sz w:val="24"/>
                <w:szCs w:val="24"/>
              </w:rPr>
              <w:t>详见技术要求</w:t>
            </w:r>
          </w:p>
        </w:tc>
        <w:tc>
          <w:tcPr>
            <w:tcW w:w="1984" w:type="dxa"/>
            <w:vAlign w:val="center"/>
          </w:tcPr>
          <w:p w:rsidR="00FB4AD5" w:rsidRDefault="00640371" w:rsidP="006C6C89">
            <w:pPr>
              <w:spacing w:line="360" w:lineRule="auto"/>
              <w:jc w:val="center"/>
              <w:rPr>
                <w:rFonts w:ascii="宋体" w:hAnsi="宋体"/>
                <w:sz w:val="24"/>
                <w:szCs w:val="24"/>
              </w:rPr>
            </w:pPr>
            <w:r>
              <w:rPr>
                <w:rFonts w:ascii="宋体" w:hAnsi="宋体" w:hint="eastAsia"/>
                <w:sz w:val="24"/>
                <w:szCs w:val="24"/>
              </w:rPr>
              <w:t>1</w:t>
            </w:r>
          </w:p>
        </w:tc>
      </w:tr>
      <w:tr w:rsidR="000A7222">
        <w:trPr>
          <w:trHeight w:val="830"/>
        </w:trPr>
        <w:tc>
          <w:tcPr>
            <w:tcW w:w="959" w:type="dxa"/>
            <w:vAlign w:val="center"/>
          </w:tcPr>
          <w:p w:rsidR="000A7222" w:rsidRDefault="00822279" w:rsidP="006C6C89">
            <w:pPr>
              <w:spacing w:line="360" w:lineRule="auto"/>
              <w:jc w:val="center"/>
              <w:rPr>
                <w:rFonts w:ascii="宋体" w:hAnsi="宋体"/>
                <w:sz w:val="24"/>
                <w:szCs w:val="24"/>
              </w:rPr>
            </w:pPr>
            <w:r>
              <w:rPr>
                <w:rFonts w:ascii="宋体" w:hAnsi="宋体" w:hint="eastAsia"/>
                <w:sz w:val="24"/>
                <w:szCs w:val="24"/>
              </w:rPr>
              <w:t>2</w:t>
            </w:r>
          </w:p>
        </w:tc>
        <w:tc>
          <w:tcPr>
            <w:tcW w:w="3544" w:type="dxa"/>
            <w:vAlign w:val="center"/>
          </w:tcPr>
          <w:p w:rsidR="000A7222" w:rsidRDefault="00822279" w:rsidP="006C6C89">
            <w:pPr>
              <w:spacing w:line="360" w:lineRule="auto"/>
              <w:jc w:val="center"/>
              <w:rPr>
                <w:rFonts w:ascii="宋体" w:hAnsi="宋体"/>
                <w:sz w:val="24"/>
                <w:szCs w:val="24"/>
              </w:rPr>
            </w:pPr>
            <w:r w:rsidRPr="00822279">
              <w:rPr>
                <w:rFonts w:ascii="宋体" w:hAnsi="宋体" w:hint="eastAsia"/>
                <w:sz w:val="24"/>
                <w:szCs w:val="24"/>
              </w:rPr>
              <w:t>非靶向代谢组学</w:t>
            </w:r>
          </w:p>
        </w:tc>
        <w:tc>
          <w:tcPr>
            <w:tcW w:w="3402" w:type="dxa"/>
            <w:vAlign w:val="center"/>
          </w:tcPr>
          <w:p w:rsidR="000A7222" w:rsidRDefault="00822279" w:rsidP="006C6C89">
            <w:pPr>
              <w:spacing w:line="360" w:lineRule="auto"/>
              <w:jc w:val="center"/>
              <w:rPr>
                <w:rFonts w:ascii="宋体" w:hAnsi="宋体"/>
                <w:sz w:val="24"/>
                <w:szCs w:val="24"/>
              </w:rPr>
            </w:pPr>
            <w:r w:rsidRPr="00822279">
              <w:rPr>
                <w:rFonts w:ascii="宋体" w:hAnsi="宋体" w:hint="eastAsia"/>
                <w:sz w:val="24"/>
                <w:szCs w:val="24"/>
              </w:rPr>
              <w:t>详见技术要求</w:t>
            </w:r>
          </w:p>
        </w:tc>
        <w:tc>
          <w:tcPr>
            <w:tcW w:w="1984" w:type="dxa"/>
            <w:vAlign w:val="center"/>
          </w:tcPr>
          <w:p w:rsidR="000A7222" w:rsidRDefault="00822279" w:rsidP="006C6C89">
            <w:pPr>
              <w:spacing w:line="360" w:lineRule="auto"/>
              <w:jc w:val="center"/>
              <w:rPr>
                <w:rFonts w:ascii="宋体" w:hAnsi="宋体"/>
                <w:sz w:val="24"/>
                <w:szCs w:val="24"/>
              </w:rPr>
            </w:pPr>
            <w:r>
              <w:rPr>
                <w:rFonts w:ascii="宋体" w:hAnsi="宋体" w:hint="eastAsia"/>
                <w:sz w:val="24"/>
                <w:szCs w:val="24"/>
              </w:rPr>
              <w:t>1</w:t>
            </w:r>
          </w:p>
        </w:tc>
      </w:tr>
    </w:tbl>
    <w:p w:rsidR="00FB4AD5" w:rsidRPr="00C97C14" w:rsidRDefault="00C97C14" w:rsidP="00C97C14">
      <w:pPr>
        <w:spacing w:line="360" w:lineRule="auto"/>
        <w:rPr>
          <w:rFonts w:ascii="宋体" w:eastAsia="宋体" w:hAnsi="宋体"/>
          <w:sz w:val="24"/>
          <w:szCs w:val="24"/>
        </w:rPr>
      </w:pPr>
      <w:r>
        <w:rPr>
          <w:rFonts w:ascii="宋体" w:eastAsia="宋体" w:hAnsi="宋体" w:hint="eastAsia"/>
          <w:sz w:val="24"/>
          <w:szCs w:val="24"/>
        </w:rPr>
        <w:t>三、</w:t>
      </w:r>
      <w:r w:rsidR="00640371" w:rsidRPr="00C97C14">
        <w:rPr>
          <w:rFonts w:ascii="宋体" w:eastAsia="宋体" w:hAnsi="宋体" w:hint="eastAsia"/>
          <w:sz w:val="24"/>
          <w:szCs w:val="24"/>
        </w:rPr>
        <w:t>技术要求</w:t>
      </w:r>
    </w:p>
    <w:p w:rsidR="00FB4AD5" w:rsidRDefault="00392BDD" w:rsidP="006C6C89">
      <w:pPr>
        <w:spacing w:line="360" w:lineRule="auto"/>
        <w:rPr>
          <w:rFonts w:ascii="宋体" w:eastAsia="宋体" w:hAnsi="宋体"/>
          <w:sz w:val="24"/>
          <w:szCs w:val="24"/>
        </w:rPr>
      </w:pPr>
      <w:r>
        <w:rPr>
          <w:rFonts w:ascii="宋体" w:eastAsia="宋体" w:hAnsi="宋体" w:hint="eastAsia"/>
          <w:sz w:val="24"/>
          <w:szCs w:val="24"/>
        </w:rPr>
        <w:t>1、</w:t>
      </w:r>
      <w:r w:rsidR="00640371">
        <w:rPr>
          <w:rFonts w:ascii="宋体" w:eastAsia="宋体" w:hAnsi="宋体" w:hint="eastAsia"/>
          <w:color w:val="000000"/>
          <w:sz w:val="24"/>
          <w:szCs w:val="24"/>
        </w:rPr>
        <w:t>血液微生物组检测技术要求</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39"/>
        <w:gridCol w:w="6993"/>
        <w:gridCol w:w="1490"/>
      </w:tblGrid>
      <w:tr w:rsidR="0076448C" w:rsidTr="0076448C">
        <w:trPr>
          <w:trHeight w:val="287"/>
        </w:trPr>
        <w:tc>
          <w:tcPr>
            <w:tcW w:w="740" w:type="dxa"/>
            <w:shd w:val="clear" w:color="auto" w:fill="auto"/>
            <w:vAlign w:val="center"/>
          </w:tcPr>
          <w:p w:rsidR="0076448C" w:rsidRDefault="0076448C" w:rsidP="006C6C89">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名称</w:t>
            </w:r>
          </w:p>
        </w:tc>
        <w:tc>
          <w:tcPr>
            <w:tcW w:w="7732" w:type="dxa"/>
            <w:gridSpan w:val="2"/>
            <w:shd w:val="clear" w:color="auto" w:fill="auto"/>
            <w:vAlign w:val="center"/>
          </w:tcPr>
          <w:p w:rsidR="0076448C" w:rsidRDefault="0076448C" w:rsidP="006C6C89">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技术参数要求</w:t>
            </w:r>
          </w:p>
        </w:tc>
        <w:tc>
          <w:tcPr>
            <w:tcW w:w="1490" w:type="dxa"/>
            <w:vMerge w:val="restart"/>
          </w:tcPr>
          <w:p w:rsidR="0076448C" w:rsidRDefault="0076448C" w:rsidP="006C6C89">
            <w:pPr>
              <w:spacing w:line="360" w:lineRule="auto"/>
              <w:jc w:val="center"/>
              <w:rPr>
                <w:rFonts w:ascii="宋体" w:eastAsia="宋体" w:hAnsi="宋体" w:cs="宋体"/>
                <w:color w:val="000000"/>
                <w:kern w:val="0"/>
                <w:sz w:val="24"/>
                <w:szCs w:val="24"/>
              </w:rPr>
            </w:pPr>
          </w:p>
          <w:p w:rsidR="0076448C" w:rsidRDefault="0076448C" w:rsidP="006C6C89">
            <w:pPr>
              <w:spacing w:line="360" w:lineRule="auto"/>
              <w:jc w:val="center"/>
              <w:rPr>
                <w:rFonts w:ascii="宋体" w:eastAsia="宋体" w:hAnsi="宋体" w:cs="宋体"/>
                <w:color w:val="000000"/>
                <w:kern w:val="0"/>
                <w:sz w:val="24"/>
                <w:szCs w:val="24"/>
              </w:rPr>
            </w:pPr>
          </w:p>
          <w:p w:rsidR="0076448C" w:rsidRDefault="0076448C" w:rsidP="006C6C89">
            <w:pPr>
              <w:spacing w:line="360" w:lineRule="auto"/>
              <w:jc w:val="center"/>
              <w:rPr>
                <w:rFonts w:ascii="宋体" w:eastAsia="宋体" w:hAnsi="宋体" w:cs="宋体"/>
                <w:color w:val="000000"/>
                <w:kern w:val="0"/>
                <w:sz w:val="24"/>
                <w:szCs w:val="24"/>
              </w:rPr>
            </w:pPr>
          </w:p>
          <w:p w:rsidR="0076448C" w:rsidRDefault="0076448C" w:rsidP="006C6C89">
            <w:pPr>
              <w:spacing w:line="360" w:lineRule="auto"/>
              <w:jc w:val="center"/>
              <w:rPr>
                <w:rFonts w:ascii="宋体" w:eastAsia="宋体" w:hAnsi="宋体" w:cs="宋体"/>
                <w:color w:val="000000"/>
                <w:kern w:val="0"/>
                <w:sz w:val="24"/>
                <w:szCs w:val="24"/>
              </w:rPr>
            </w:pPr>
          </w:p>
          <w:p w:rsidR="0076448C" w:rsidRDefault="0076448C" w:rsidP="006C6C89">
            <w:pPr>
              <w:spacing w:line="360" w:lineRule="auto"/>
              <w:jc w:val="center"/>
              <w:rPr>
                <w:rFonts w:ascii="宋体" w:eastAsia="宋体" w:hAnsi="宋体" w:cs="宋体"/>
                <w:color w:val="000000"/>
                <w:kern w:val="0"/>
                <w:sz w:val="24"/>
                <w:szCs w:val="24"/>
              </w:rPr>
            </w:pPr>
          </w:p>
          <w:p w:rsidR="0076448C" w:rsidRDefault="0076448C" w:rsidP="006C6C89">
            <w:pPr>
              <w:spacing w:line="360" w:lineRule="auto"/>
              <w:jc w:val="center"/>
              <w:rPr>
                <w:rFonts w:ascii="宋体" w:eastAsia="宋体" w:hAnsi="宋体" w:cs="宋体"/>
                <w:color w:val="000000"/>
                <w:kern w:val="0"/>
                <w:sz w:val="24"/>
                <w:szCs w:val="24"/>
              </w:rPr>
            </w:pPr>
          </w:p>
          <w:p w:rsidR="0076448C" w:rsidRDefault="0076448C" w:rsidP="006C6C89">
            <w:pPr>
              <w:spacing w:line="360" w:lineRule="auto"/>
              <w:jc w:val="center"/>
              <w:rPr>
                <w:rFonts w:ascii="宋体" w:eastAsia="宋体" w:hAnsi="宋体" w:cs="宋体"/>
                <w:color w:val="000000"/>
                <w:kern w:val="0"/>
                <w:sz w:val="24"/>
                <w:szCs w:val="24"/>
              </w:rPr>
            </w:pPr>
          </w:p>
          <w:p w:rsidR="0076448C" w:rsidRDefault="0076448C" w:rsidP="006C6C89">
            <w:pPr>
              <w:spacing w:line="360" w:lineRule="auto"/>
              <w:jc w:val="center"/>
              <w:rPr>
                <w:rFonts w:ascii="宋体" w:eastAsia="宋体" w:hAnsi="宋体" w:cs="宋体"/>
                <w:b/>
                <w:bCs/>
                <w:color w:val="000000"/>
                <w:kern w:val="0"/>
                <w:sz w:val="24"/>
                <w:szCs w:val="24"/>
              </w:rPr>
            </w:pPr>
            <w:r>
              <w:rPr>
                <w:rFonts w:ascii="宋体" w:eastAsia="宋体" w:hAnsi="宋体" w:cs="宋体" w:hint="eastAsia"/>
                <w:color w:val="000000"/>
                <w:kern w:val="0"/>
                <w:sz w:val="24"/>
                <w:szCs w:val="24"/>
              </w:rPr>
              <w:t>预计3</w:t>
            </w:r>
            <w:r>
              <w:rPr>
                <w:rFonts w:ascii="宋体" w:eastAsia="宋体" w:hAnsi="宋体" w:cs="宋体"/>
                <w:color w:val="000000"/>
                <w:kern w:val="0"/>
                <w:sz w:val="24"/>
                <w:szCs w:val="24"/>
              </w:rPr>
              <w:t>750</w:t>
            </w:r>
            <w:r>
              <w:rPr>
                <w:rFonts w:ascii="宋体" w:eastAsia="宋体" w:hAnsi="宋体" w:cs="宋体" w:hint="eastAsia"/>
                <w:color w:val="000000"/>
                <w:kern w:val="0"/>
                <w:sz w:val="24"/>
                <w:szCs w:val="24"/>
              </w:rPr>
              <w:t>例样本，以实际为准</w:t>
            </w:r>
          </w:p>
        </w:tc>
      </w:tr>
      <w:tr w:rsidR="0076448C" w:rsidTr="0076448C">
        <w:trPr>
          <w:trHeight w:val="1101"/>
        </w:trPr>
        <w:tc>
          <w:tcPr>
            <w:tcW w:w="740" w:type="dxa"/>
            <w:shd w:val="clear" w:color="auto" w:fill="auto"/>
            <w:vAlign w:val="center"/>
          </w:tcPr>
          <w:p w:rsidR="0076448C" w:rsidRDefault="0076448C" w:rsidP="006C6C89">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基本要求</w:t>
            </w:r>
          </w:p>
        </w:tc>
        <w:tc>
          <w:tcPr>
            <w:tcW w:w="7732" w:type="dxa"/>
            <w:gridSpan w:val="2"/>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有经验、有资质以及能够短时间内快速稳定处理大样本的组学服务供应商，提供技术开发所需要的技术资料和数据，参与项目的全过程。</w:t>
            </w:r>
          </w:p>
        </w:tc>
        <w:tc>
          <w:tcPr>
            <w:tcW w:w="1490" w:type="dxa"/>
            <w:vMerge/>
          </w:tcPr>
          <w:p w:rsidR="0076448C" w:rsidRDefault="0076448C" w:rsidP="006C6C89">
            <w:pPr>
              <w:widowControl/>
              <w:spacing w:line="360" w:lineRule="auto"/>
              <w:rPr>
                <w:rFonts w:ascii="宋体" w:eastAsia="宋体" w:hAnsi="宋体" w:cs="宋体"/>
                <w:color w:val="000000"/>
                <w:kern w:val="0"/>
                <w:sz w:val="24"/>
                <w:szCs w:val="24"/>
              </w:rPr>
            </w:pPr>
          </w:p>
        </w:tc>
      </w:tr>
      <w:tr w:rsidR="0076448C" w:rsidTr="0076448C">
        <w:trPr>
          <w:trHeight w:val="287"/>
        </w:trPr>
        <w:tc>
          <w:tcPr>
            <w:tcW w:w="740" w:type="dxa"/>
            <w:vMerge w:val="restart"/>
            <w:shd w:val="clear" w:color="auto" w:fill="auto"/>
            <w:vAlign w:val="center"/>
          </w:tcPr>
          <w:p w:rsidR="0076448C" w:rsidRDefault="0076448C" w:rsidP="006C6C89">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参数指标</w:t>
            </w:r>
          </w:p>
        </w:tc>
        <w:tc>
          <w:tcPr>
            <w:tcW w:w="739" w:type="dxa"/>
            <w:vMerge w:val="restart"/>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性能参数</w:t>
            </w:r>
          </w:p>
        </w:tc>
        <w:tc>
          <w:tcPr>
            <w:tcW w:w="6993" w:type="dxa"/>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血液微生物检出率≥90%</w:t>
            </w:r>
          </w:p>
        </w:tc>
        <w:tc>
          <w:tcPr>
            <w:tcW w:w="1490" w:type="dxa"/>
            <w:vMerge/>
          </w:tcPr>
          <w:p w:rsidR="0076448C" w:rsidRDefault="0076448C" w:rsidP="006C6C89">
            <w:pPr>
              <w:widowControl/>
              <w:spacing w:line="360" w:lineRule="auto"/>
              <w:rPr>
                <w:rFonts w:ascii="宋体" w:eastAsia="宋体" w:hAnsi="宋体" w:cs="宋体"/>
                <w:color w:val="000000"/>
                <w:kern w:val="0"/>
                <w:sz w:val="24"/>
                <w:szCs w:val="24"/>
              </w:rPr>
            </w:pPr>
          </w:p>
        </w:tc>
      </w:tr>
      <w:tr w:rsidR="0076448C" w:rsidTr="0076448C">
        <w:trPr>
          <w:trHeight w:val="287"/>
        </w:trPr>
        <w:tc>
          <w:tcPr>
            <w:tcW w:w="740"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739"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6993" w:type="dxa"/>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血液体积可低至30 </w:t>
            </w:r>
            <w:r>
              <w:rPr>
                <w:rFonts w:ascii="Times New Roman" w:eastAsia="宋体" w:hAnsi="Times New Roman" w:cs="Times New Roman"/>
                <w:color w:val="000000"/>
                <w:kern w:val="0"/>
                <w:sz w:val="24"/>
                <w:szCs w:val="24"/>
              </w:rPr>
              <w:t>μL</w:t>
            </w:r>
          </w:p>
        </w:tc>
        <w:tc>
          <w:tcPr>
            <w:tcW w:w="1490" w:type="dxa"/>
            <w:vMerge/>
          </w:tcPr>
          <w:p w:rsidR="0076448C" w:rsidRDefault="0076448C" w:rsidP="006C6C89">
            <w:pPr>
              <w:widowControl/>
              <w:spacing w:line="360" w:lineRule="auto"/>
              <w:rPr>
                <w:rFonts w:ascii="宋体" w:eastAsia="宋体" w:hAnsi="宋体" w:cs="宋体"/>
                <w:color w:val="000000"/>
                <w:kern w:val="0"/>
                <w:sz w:val="24"/>
                <w:szCs w:val="24"/>
              </w:rPr>
            </w:pPr>
          </w:p>
        </w:tc>
      </w:tr>
      <w:tr w:rsidR="0076448C" w:rsidTr="0076448C">
        <w:trPr>
          <w:trHeight w:val="287"/>
        </w:trPr>
        <w:tc>
          <w:tcPr>
            <w:tcW w:w="740"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739"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6993" w:type="dxa"/>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菌群分辨率到种</w:t>
            </w:r>
          </w:p>
        </w:tc>
        <w:tc>
          <w:tcPr>
            <w:tcW w:w="1490" w:type="dxa"/>
            <w:vMerge/>
          </w:tcPr>
          <w:p w:rsidR="0076448C" w:rsidRDefault="0076448C" w:rsidP="006C6C89">
            <w:pPr>
              <w:widowControl/>
              <w:spacing w:line="360" w:lineRule="auto"/>
              <w:rPr>
                <w:rFonts w:ascii="宋体" w:eastAsia="宋体" w:hAnsi="宋体" w:cs="宋体"/>
                <w:color w:val="000000"/>
                <w:kern w:val="0"/>
                <w:sz w:val="24"/>
                <w:szCs w:val="24"/>
              </w:rPr>
            </w:pPr>
          </w:p>
        </w:tc>
      </w:tr>
      <w:tr w:rsidR="0076448C" w:rsidTr="0076448C">
        <w:trPr>
          <w:trHeight w:val="843"/>
        </w:trPr>
        <w:tc>
          <w:tcPr>
            <w:tcW w:w="740"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739" w:type="dxa"/>
            <w:vMerge w:val="restart"/>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技术参数</w:t>
            </w:r>
          </w:p>
        </w:tc>
        <w:tc>
          <w:tcPr>
            <w:tcW w:w="6993" w:type="dxa"/>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1.采用扩增5个以上目标区域的多重PCR扩增技术</w:t>
            </w:r>
          </w:p>
        </w:tc>
        <w:tc>
          <w:tcPr>
            <w:tcW w:w="1490" w:type="dxa"/>
            <w:vMerge/>
          </w:tcPr>
          <w:p w:rsidR="0076448C" w:rsidRDefault="0076448C" w:rsidP="006C6C89">
            <w:pPr>
              <w:widowControl/>
              <w:spacing w:line="360" w:lineRule="auto"/>
              <w:rPr>
                <w:rFonts w:ascii="宋体" w:eastAsia="宋体" w:hAnsi="宋体" w:cs="宋体"/>
                <w:color w:val="000000"/>
                <w:kern w:val="0"/>
                <w:sz w:val="24"/>
                <w:szCs w:val="24"/>
              </w:rPr>
            </w:pPr>
          </w:p>
        </w:tc>
      </w:tr>
      <w:tr w:rsidR="0076448C" w:rsidTr="0076448C">
        <w:trPr>
          <w:trHeight w:val="565"/>
        </w:trPr>
        <w:tc>
          <w:tcPr>
            <w:tcW w:w="740"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739"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6993" w:type="dxa"/>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2.测序数据量20万reads</w:t>
            </w:r>
          </w:p>
        </w:tc>
        <w:tc>
          <w:tcPr>
            <w:tcW w:w="1490" w:type="dxa"/>
            <w:vMerge/>
          </w:tcPr>
          <w:p w:rsidR="0076448C" w:rsidRDefault="0076448C" w:rsidP="006C6C89">
            <w:pPr>
              <w:widowControl/>
              <w:spacing w:line="360" w:lineRule="auto"/>
              <w:rPr>
                <w:rFonts w:ascii="宋体" w:eastAsia="宋体" w:hAnsi="宋体" w:cs="宋体"/>
                <w:color w:val="000000"/>
                <w:kern w:val="0"/>
                <w:sz w:val="24"/>
                <w:szCs w:val="24"/>
              </w:rPr>
            </w:pPr>
          </w:p>
        </w:tc>
      </w:tr>
      <w:tr w:rsidR="0076448C" w:rsidTr="0076448C">
        <w:trPr>
          <w:trHeight w:val="565"/>
        </w:trPr>
        <w:tc>
          <w:tcPr>
            <w:tcW w:w="740"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739"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6993" w:type="dxa"/>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3.测序数据Q30＞90%</w:t>
            </w:r>
          </w:p>
        </w:tc>
        <w:tc>
          <w:tcPr>
            <w:tcW w:w="1490" w:type="dxa"/>
            <w:vMerge/>
          </w:tcPr>
          <w:p w:rsidR="0076448C" w:rsidRDefault="0076448C" w:rsidP="006C6C89">
            <w:pPr>
              <w:widowControl/>
              <w:spacing w:line="360" w:lineRule="auto"/>
              <w:rPr>
                <w:rFonts w:ascii="宋体" w:eastAsia="宋体" w:hAnsi="宋体" w:cs="宋体"/>
                <w:color w:val="000000"/>
                <w:kern w:val="0"/>
                <w:sz w:val="24"/>
                <w:szCs w:val="24"/>
              </w:rPr>
            </w:pPr>
          </w:p>
        </w:tc>
      </w:tr>
      <w:tr w:rsidR="0076448C" w:rsidTr="0076448C">
        <w:trPr>
          <w:trHeight w:val="843"/>
        </w:trPr>
        <w:tc>
          <w:tcPr>
            <w:tcW w:w="740"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739"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6993" w:type="dxa"/>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4.有整合分析5个目标区域数据并鉴定菌群组成的分析流程</w:t>
            </w:r>
          </w:p>
        </w:tc>
        <w:tc>
          <w:tcPr>
            <w:tcW w:w="1490" w:type="dxa"/>
            <w:vMerge/>
          </w:tcPr>
          <w:p w:rsidR="0076448C" w:rsidRDefault="0076448C" w:rsidP="006C6C89">
            <w:pPr>
              <w:widowControl/>
              <w:spacing w:line="360" w:lineRule="auto"/>
              <w:rPr>
                <w:rFonts w:ascii="宋体" w:eastAsia="宋体" w:hAnsi="宋体" w:cs="宋体"/>
                <w:color w:val="000000"/>
                <w:kern w:val="0"/>
                <w:sz w:val="24"/>
                <w:szCs w:val="24"/>
              </w:rPr>
            </w:pPr>
          </w:p>
        </w:tc>
      </w:tr>
      <w:tr w:rsidR="0076448C" w:rsidTr="0076448C">
        <w:trPr>
          <w:trHeight w:val="287"/>
        </w:trPr>
        <w:tc>
          <w:tcPr>
            <w:tcW w:w="740"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739" w:type="dxa"/>
            <w:vMerge/>
            <w:vAlign w:val="center"/>
          </w:tcPr>
          <w:p w:rsidR="0076448C" w:rsidRDefault="0076448C" w:rsidP="006C6C89">
            <w:pPr>
              <w:widowControl/>
              <w:spacing w:line="360" w:lineRule="auto"/>
              <w:jc w:val="left"/>
              <w:rPr>
                <w:rFonts w:ascii="宋体" w:eastAsia="宋体" w:hAnsi="宋体" w:cs="宋体"/>
                <w:color w:val="000000"/>
                <w:kern w:val="0"/>
                <w:sz w:val="24"/>
                <w:szCs w:val="24"/>
              </w:rPr>
            </w:pPr>
          </w:p>
        </w:tc>
        <w:tc>
          <w:tcPr>
            <w:tcW w:w="6993" w:type="dxa"/>
            <w:shd w:val="clear" w:color="auto" w:fill="auto"/>
            <w:vAlign w:val="center"/>
          </w:tcPr>
          <w:p w:rsidR="0076448C" w:rsidRDefault="0076448C" w:rsidP="006C6C89">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5.有去除污染菌的数据分析流程</w:t>
            </w:r>
          </w:p>
        </w:tc>
        <w:tc>
          <w:tcPr>
            <w:tcW w:w="1490" w:type="dxa"/>
            <w:vMerge/>
          </w:tcPr>
          <w:p w:rsidR="0076448C" w:rsidRDefault="0076448C" w:rsidP="006C6C89">
            <w:pPr>
              <w:widowControl/>
              <w:spacing w:line="360" w:lineRule="auto"/>
              <w:rPr>
                <w:rFonts w:ascii="宋体" w:eastAsia="宋体" w:hAnsi="宋体" w:cs="宋体"/>
                <w:color w:val="000000"/>
                <w:kern w:val="0"/>
                <w:sz w:val="24"/>
                <w:szCs w:val="24"/>
              </w:rPr>
            </w:pPr>
          </w:p>
        </w:tc>
      </w:tr>
    </w:tbl>
    <w:p w:rsidR="00FB4AD5" w:rsidRDefault="00FB4AD5" w:rsidP="006C6C89">
      <w:pPr>
        <w:spacing w:line="360" w:lineRule="auto"/>
        <w:rPr>
          <w:rFonts w:ascii="宋体" w:eastAsia="宋体" w:hAnsi="宋体"/>
          <w:sz w:val="24"/>
          <w:szCs w:val="24"/>
        </w:rPr>
      </w:pPr>
    </w:p>
    <w:p w:rsidR="006C6C89" w:rsidRDefault="006C6C89" w:rsidP="006C6C89">
      <w:pPr>
        <w:widowControl/>
        <w:spacing w:line="360" w:lineRule="auto"/>
        <w:jc w:val="left"/>
        <w:rPr>
          <w:rFonts w:ascii="宋体" w:eastAsia="宋体" w:hAnsi="宋体"/>
          <w:sz w:val="24"/>
          <w:szCs w:val="24"/>
        </w:rPr>
      </w:pPr>
      <w:r>
        <w:rPr>
          <w:rFonts w:ascii="宋体" w:eastAsia="宋体" w:hAnsi="宋体"/>
          <w:sz w:val="24"/>
          <w:szCs w:val="24"/>
        </w:rPr>
        <w:br w:type="page"/>
      </w:r>
    </w:p>
    <w:p w:rsidR="00FE1D76" w:rsidRPr="00FE1D76" w:rsidRDefault="00392BDD" w:rsidP="006C6C89">
      <w:pPr>
        <w:spacing w:line="360" w:lineRule="auto"/>
        <w:rPr>
          <w:rFonts w:ascii="宋体" w:eastAsia="宋体" w:hAnsi="宋体"/>
          <w:sz w:val="24"/>
          <w:szCs w:val="24"/>
        </w:rPr>
      </w:pPr>
      <w:r>
        <w:rPr>
          <w:rFonts w:ascii="宋体" w:eastAsia="宋体" w:hAnsi="宋体" w:hint="eastAsia"/>
          <w:sz w:val="24"/>
          <w:szCs w:val="24"/>
        </w:rPr>
        <w:lastRenderedPageBreak/>
        <w:t>2、</w:t>
      </w:r>
      <w:r w:rsidR="00FE1D76" w:rsidRPr="00FE1D76">
        <w:rPr>
          <w:rFonts w:ascii="宋体" w:eastAsia="宋体" w:hAnsi="宋体" w:hint="eastAsia"/>
          <w:sz w:val="24"/>
          <w:szCs w:val="24"/>
        </w:rPr>
        <w:t>非靶向代谢组学检测技术要求</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95"/>
        <w:gridCol w:w="6882"/>
        <w:gridCol w:w="1490"/>
      </w:tblGrid>
      <w:tr w:rsidR="0076448C" w:rsidRPr="00FE1D76" w:rsidTr="00FC3E1A">
        <w:trPr>
          <w:trHeight w:val="727"/>
        </w:trPr>
        <w:tc>
          <w:tcPr>
            <w:tcW w:w="795" w:type="dxa"/>
            <w:shd w:val="clear" w:color="auto" w:fill="auto"/>
            <w:vAlign w:val="center"/>
          </w:tcPr>
          <w:p w:rsidR="0076448C" w:rsidRPr="00FE1D76" w:rsidRDefault="0076448C" w:rsidP="00FC3E1A">
            <w:pPr>
              <w:jc w:val="center"/>
              <w:rPr>
                <w:rFonts w:ascii="宋体" w:eastAsia="宋体" w:hAnsi="宋体"/>
                <w:b/>
                <w:bCs/>
                <w:sz w:val="24"/>
                <w:szCs w:val="24"/>
              </w:rPr>
            </w:pPr>
            <w:r w:rsidRPr="00FE1D76">
              <w:rPr>
                <w:rFonts w:ascii="宋体" w:eastAsia="宋体" w:hAnsi="宋体" w:hint="eastAsia"/>
                <w:b/>
                <w:bCs/>
                <w:sz w:val="24"/>
                <w:szCs w:val="24"/>
              </w:rPr>
              <w:t>名称</w:t>
            </w:r>
          </w:p>
        </w:tc>
        <w:tc>
          <w:tcPr>
            <w:tcW w:w="7677" w:type="dxa"/>
            <w:gridSpan w:val="2"/>
            <w:shd w:val="clear" w:color="auto" w:fill="auto"/>
            <w:vAlign w:val="center"/>
          </w:tcPr>
          <w:p w:rsidR="0076448C" w:rsidRPr="00FE1D76" w:rsidRDefault="0076448C" w:rsidP="00FC3E1A">
            <w:pPr>
              <w:ind w:firstLineChars="1200" w:firstLine="2891"/>
              <w:rPr>
                <w:rFonts w:ascii="宋体" w:eastAsia="宋体" w:hAnsi="宋体"/>
                <w:b/>
                <w:bCs/>
                <w:sz w:val="24"/>
                <w:szCs w:val="24"/>
              </w:rPr>
            </w:pPr>
            <w:r w:rsidRPr="00FE1D76">
              <w:rPr>
                <w:rFonts w:ascii="宋体" w:eastAsia="宋体" w:hAnsi="宋体" w:hint="eastAsia"/>
                <w:b/>
                <w:bCs/>
                <w:sz w:val="24"/>
                <w:szCs w:val="24"/>
              </w:rPr>
              <w:t>技术参数要求</w:t>
            </w:r>
          </w:p>
        </w:tc>
        <w:tc>
          <w:tcPr>
            <w:tcW w:w="1490" w:type="dxa"/>
            <w:vMerge w:val="restart"/>
            <w:vAlign w:val="center"/>
          </w:tcPr>
          <w:p w:rsidR="0076448C" w:rsidRDefault="0076448C" w:rsidP="00FC3E1A">
            <w:pPr>
              <w:jc w:val="center"/>
              <w:rPr>
                <w:rFonts w:ascii="宋体" w:eastAsia="宋体" w:hAnsi="宋体" w:cs="宋体"/>
                <w:color w:val="000000"/>
                <w:kern w:val="0"/>
                <w:sz w:val="24"/>
                <w:szCs w:val="24"/>
              </w:rPr>
            </w:pPr>
          </w:p>
          <w:p w:rsidR="0076448C" w:rsidRDefault="0076448C" w:rsidP="00FC3E1A">
            <w:pPr>
              <w:jc w:val="center"/>
              <w:rPr>
                <w:rFonts w:ascii="宋体" w:eastAsia="宋体" w:hAnsi="宋体" w:cs="宋体"/>
                <w:color w:val="000000"/>
                <w:kern w:val="0"/>
                <w:sz w:val="24"/>
                <w:szCs w:val="24"/>
              </w:rPr>
            </w:pPr>
          </w:p>
          <w:p w:rsidR="0076448C" w:rsidRDefault="0076448C" w:rsidP="00FC3E1A">
            <w:pPr>
              <w:jc w:val="center"/>
              <w:rPr>
                <w:rFonts w:ascii="宋体" w:eastAsia="宋体" w:hAnsi="宋体" w:cs="宋体"/>
                <w:color w:val="000000"/>
                <w:kern w:val="0"/>
                <w:sz w:val="24"/>
                <w:szCs w:val="24"/>
              </w:rPr>
            </w:pPr>
          </w:p>
          <w:p w:rsidR="0076448C" w:rsidRDefault="0076448C" w:rsidP="00FC3E1A">
            <w:pPr>
              <w:jc w:val="center"/>
              <w:rPr>
                <w:rFonts w:ascii="宋体" w:eastAsia="宋体" w:hAnsi="宋体" w:cs="宋体"/>
                <w:color w:val="000000"/>
                <w:kern w:val="0"/>
                <w:sz w:val="24"/>
                <w:szCs w:val="24"/>
              </w:rPr>
            </w:pPr>
          </w:p>
          <w:p w:rsidR="0076448C" w:rsidRDefault="0076448C" w:rsidP="00FC3E1A">
            <w:pPr>
              <w:jc w:val="center"/>
              <w:rPr>
                <w:rFonts w:ascii="宋体" w:eastAsia="宋体" w:hAnsi="宋体" w:cs="宋体"/>
                <w:color w:val="000000"/>
                <w:kern w:val="0"/>
                <w:sz w:val="24"/>
                <w:szCs w:val="24"/>
              </w:rPr>
            </w:pPr>
          </w:p>
          <w:p w:rsidR="0076448C" w:rsidRDefault="0076448C" w:rsidP="00FC3E1A">
            <w:pPr>
              <w:jc w:val="center"/>
              <w:rPr>
                <w:rFonts w:ascii="宋体" w:eastAsia="宋体" w:hAnsi="宋体" w:cs="宋体"/>
                <w:color w:val="000000"/>
                <w:kern w:val="0"/>
                <w:sz w:val="24"/>
                <w:szCs w:val="24"/>
              </w:rPr>
            </w:pPr>
          </w:p>
          <w:p w:rsidR="0076448C" w:rsidRDefault="0076448C" w:rsidP="00FC3E1A">
            <w:pPr>
              <w:jc w:val="center"/>
              <w:rPr>
                <w:rFonts w:ascii="宋体" w:eastAsia="宋体" w:hAnsi="宋体" w:cs="宋体"/>
                <w:color w:val="000000"/>
                <w:kern w:val="0"/>
                <w:sz w:val="24"/>
                <w:szCs w:val="24"/>
              </w:rPr>
            </w:pPr>
          </w:p>
          <w:p w:rsidR="0076448C" w:rsidRDefault="0076448C" w:rsidP="00FC3E1A">
            <w:pPr>
              <w:jc w:val="center"/>
              <w:rPr>
                <w:rFonts w:ascii="宋体" w:eastAsia="宋体" w:hAnsi="宋体" w:cs="宋体"/>
                <w:color w:val="000000"/>
                <w:kern w:val="0"/>
                <w:sz w:val="24"/>
                <w:szCs w:val="24"/>
              </w:rPr>
            </w:pPr>
          </w:p>
          <w:p w:rsidR="0076448C" w:rsidRPr="00FE1D76" w:rsidRDefault="0076448C" w:rsidP="00FC3E1A">
            <w:pPr>
              <w:jc w:val="center"/>
              <w:rPr>
                <w:rFonts w:ascii="宋体" w:eastAsia="宋体" w:hAnsi="宋体"/>
                <w:b/>
                <w:bCs/>
                <w:sz w:val="24"/>
                <w:szCs w:val="24"/>
              </w:rPr>
            </w:pPr>
            <w:r>
              <w:rPr>
                <w:rFonts w:ascii="宋体" w:eastAsia="宋体" w:hAnsi="宋体" w:cs="宋体" w:hint="eastAsia"/>
                <w:color w:val="000000"/>
                <w:kern w:val="0"/>
                <w:sz w:val="24"/>
                <w:szCs w:val="24"/>
              </w:rPr>
              <w:t>预计3</w:t>
            </w:r>
            <w:r>
              <w:rPr>
                <w:rFonts w:ascii="宋体" w:eastAsia="宋体" w:hAnsi="宋体" w:cs="宋体"/>
                <w:color w:val="000000"/>
                <w:kern w:val="0"/>
                <w:sz w:val="24"/>
                <w:szCs w:val="24"/>
              </w:rPr>
              <w:t>750</w:t>
            </w:r>
            <w:r>
              <w:rPr>
                <w:rFonts w:ascii="宋体" w:eastAsia="宋体" w:hAnsi="宋体" w:cs="宋体" w:hint="eastAsia"/>
                <w:color w:val="000000"/>
                <w:kern w:val="0"/>
                <w:sz w:val="24"/>
                <w:szCs w:val="24"/>
              </w:rPr>
              <w:t>例样本，以实际为准</w:t>
            </w:r>
          </w:p>
        </w:tc>
      </w:tr>
      <w:tr w:rsidR="0076448C" w:rsidRPr="00FE1D76" w:rsidTr="00D537AB">
        <w:trPr>
          <w:trHeight w:val="915"/>
        </w:trPr>
        <w:tc>
          <w:tcPr>
            <w:tcW w:w="795" w:type="dxa"/>
            <w:shd w:val="clear" w:color="auto" w:fill="auto"/>
            <w:vAlign w:val="center"/>
          </w:tcPr>
          <w:p w:rsidR="0076448C" w:rsidRPr="00FE1D76" w:rsidRDefault="0076448C" w:rsidP="00FC3E1A">
            <w:pPr>
              <w:jc w:val="center"/>
              <w:rPr>
                <w:rFonts w:ascii="宋体" w:eastAsia="宋体" w:hAnsi="宋体"/>
                <w:sz w:val="24"/>
                <w:szCs w:val="24"/>
              </w:rPr>
            </w:pPr>
            <w:r w:rsidRPr="00FE1D76">
              <w:rPr>
                <w:rFonts w:ascii="宋体" w:eastAsia="宋体" w:hAnsi="宋体" w:hint="eastAsia"/>
                <w:sz w:val="24"/>
                <w:szCs w:val="24"/>
              </w:rPr>
              <w:t>基本要求</w:t>
            </w:r>
          </w:p>
        </w:tc>
        <w:tc>
          <w:tcPr>
            <w:tcW w:w="7677" w:type="dxa"/>
            <w:gridSpan w:val="2"/>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hint="eastAsia"/>
                <w:sz w:val="24"/>
                <w:szCs w:val="24"/>
              </w:rPr>
              <w:t>有经验、有资质以及能够短时间内快速稳定处理大样本的组学服务供应商，提供技术开发所需要的技术资料和数据，参与项目的全过程。</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300"/>
        </w:trPr>
        <w:tc>
          <w:tcPr>
            <w:tcW w:w="795" w:type="dxa"/>
            <w:vMerge w:val="restart"/>
            <w:shd w:val="clear" w:color="auto" w:fill="auto"/>
            <w:vAlign w:val="center"/>
          </w:tcPr>
          <w:p w:rsidR="0076448C" w:rsidRPr="00FE1D76" w:rsidRDefault="0076448C" w:rsidP="00FC3E1A">
            <w:pPr>
              <w:jc w:val="center"/>
              <w:rPr>
                <w:rFonts w:ascii="宋体" w:eastAsia="宋体" w:hAnsi="宋体"/>
                <w:sz w:val="24"/>
                <w:szCs w:val="24"/>
              </w:rPr>
            </w:pPr>
            <w:r w:rsidRPr="00FE1D76">
              <w:rPr>
                <w:rFonts w:ascii="宋体" w:eastAsia="宋体" w:hAnsi="宋体" w:hint="eastAsia"/>
                <w:sz w:val="24"/>
                <w:szCs w:val="24"/>
              </w:rPr>
              <w:t>参数指标</w:t>
            </w:r>
          </w:p>
        </w:tc>
        <w:tc>
          <w:tcPr>
            <w:tcW w:w="795" w:type="dxa"/>
            <w:vMerge w:val="restart"/>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hint="eastAsia"/>
                <w:sz w:val="24"/>
                <w:szCs w:val="24"/>
              </w:rPr>
              <w:t>性能参数</w:t>
            </w: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1. 设备外标校正一次后，连续24小时内不再校正质量轴，重复进样100 fg利血平，母离子609质量精确度≤3</w:t>
            </w:r>
            <w:r w:rsidRPr="00FE1D76">
              <w:rPr>
                <w:rFonts w:ascii="宋体" w:eastAsia="宋体" w:hAnsi="宋体" w:hint="eastAsia"/>
                <w:sz w:val="24"/>
                <w:szCs w:val="24"/>
              </w:rPr>
              <w:t xml:space="preserve"> </w:t>
            </w:r>
            <w:r w:rsidRPr="00FE1D76">
              <w:rPr>
                <w:rFonts w:ascii="宋体" w:eastAsia="宋体" w:hAnsi="宋体"/>
                <w:sz w:val="24"/>
                <w:szCs w:val="24"/>
              </w:rPr>
              <w:t>ppm</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30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2. 通过实时内标校正离子源，可自动实时校正一级质谱和二级质谱，实现至少连续5天＜1 ppm的质量偏差</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30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3. MS/MS灵敏度：200 fg 利血平进样，S/N 100:1</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30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4. 选择离子扫描tSIM灵敏度：200 fg 利血平进样，S/N 250:1</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59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5. 仪器分辨率：120,000 FWHM  ( m/z≤200 )</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88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restart"/>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hint="eastAsia"/>
                <w:sz w:val="24"/>
                <w:szCs w:val="24"/>
              </w:rPr>
              <w:t>技术参数</w:t>
            </w: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1. 可加热ESI源，离子源加热温度最高可达550℃，不分流的情况下采用纯水作为溶剂，流速为1</w:t>
            </w:r>
            <w:r w:rsidRPr="00FE1D76">
              <w:rPr>
                <w:rFonts w:ascii="宋体" w:eastAsia="宋体" w:hAnsi="宋体"/>
                <w:sz w:val="24"/>
                <w:szCs w:val="24"/>
              </w:rPr>
              <w:sym w:font="Symbol" w:char="F06D"/>
            </w:r>
            <w:r w:rsidRPr="00FE1D76">
              <w:rPr>
                <w:rFonts w:ascii="宋体" w:eastAsia="宋体" w:hAnsi="宋体"/>
                <w:sz w:val="24"/>
                <w:szCs w:val="24"/>
              </w:rPr>
              <w:t>l-1,000</w:t>
            </w:r>
            <w:r w:rsidRPr="00FE1D76">
              <w:rPr>
                <w:rFonts w:ascii="宋体" w:eastAsia="宋体" w:hAnsi="宋体"/>
                <w:sz w:val="24"/>
                <w:szCs w:val="24"/>
              </w:rPr>
              <w:sym w:font="Symbol" w:char="F06D"/>
            </w:r>
            <w:r w:rsidRPr="00FE1D76">
              <w:rPr>
                <w:rFonts w:ascii="宋体" w:eastAsia="宋体" w:hAnsi="宋体"/>
                <w:sz w:val="24"/>
                <w:szCs w:val="24"/>
              </w:rPr>
              <w:t>l/min；APCI流速为50</w:t>
            </w:r>
            <w:r w:rsidRPr="00FE1D76">
              <w:rPr>
                <w:rFonts w:ascii="宋体" w:eastAsia="宋体" w:hAnsi="宋体" w:hint="eastAsia"/>
                <w:sz w:val="24"/>
                <w:szCs w:val="24"/>
              </w:rPr>
              <w:t xml:space="preserve"> </w:t>
            </w:r>
            <w:r w:rsidRPr="00FE1D76">
              <w:rPr>
                <w:rFonts w:ascii="宋体" w:eastAsia="宋体" w:hAnsi="宋体"/>
                <w:sz w:val="24"/>
                <w:szCs w:val="24"/>
              </w:rPr>
              <w:sym w:font="Symbol" w:char="F06D"/>
            </w:r>
            <w:r w:rsidRPr="00FE1D76">
              <w:rPr>
                <w:rFonts w:ascii="宋体" w:eastAsia="宋体" w:hAnsi="宋体" w:hint="eastAsia"/>
                <w:sz w:val="24"/>
                <w:szCs w:val="24"/>
              </w:rPr>
              <w:t>L/min</w:t>
            </w:r>
            <w:r w:rsidRPr="00FE1D76">
              <w:rPr>
                <w:rFonts w:ascii="宋体" w:eastAsia="宋体" w:hAnsi="宋体"/>
                <w:sz w:val="24"/>
                <w:szCs w:val="24"/>
              </w:rPr>
              <w:t>-1000</w:t>
            </w:r>
            <w:r w:rsidRPr="00FE1D76">
              <w:rPr>
                <w:rFonts w:ascii="宋体" w:eastAsia="宋体" w:hAnsi="宋体" w:hint="eastAsia"/>
                <w:sz w:val="24"/>
                <w:szCs w:val="24"/>
              </w:rPr>
              <w:t xml:space="preserve"> </w:t>
            </w:r>
            <w:r w:rsidRPr="00FE1D76">
              <w:rPr>
                <w:rFonts w:ascii="宋体" w:eastAsia="宋体" w:hAnsi="宋体"/>
                <w:sz w:val="24"/>
                <w:szCs w:val="24"/>
              </w:rPr>
              <w:sym w:font="Symbol" w:char="F06D"/>
            </w:r>
            <w:r w:rsidRPr="00FE1D76">
              <w:rPr>
                <w:rFonts w:ascii="宋体" w:eastAsia="宋体" w:hAnsi="宋体" w:hint="eastAsia"/>
                <w:sz w:val="24"/>
                <w:szCs w:val="24"/>
              </w:rPr>
              <w:t>L</w:t>
            </w:r>
            <w:r w:rsidRPr="00FE1D76">
              <w:rPr>
                <w:rFonts w:ascii="宋体" w:eastAsia="宋体" w:hAnsi="宋体"/>
                <w:sz w:val="24"/>
                <w:szCs w:val="24"/>
              </w:rPr>
              <w:t>/min</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59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2. 正负极性切换扫描速度：分辨率60,000 FWHM条件下，全扫描模式正负切换时间＜700ms，等效扫描速度＞1.4 HZ；tSIM模式下正负切换时间＜600</w:t>
            </w:r>
            <w:r w:rsidRPr="00FE1D76">
              <w:rPr>
                <w:rFonts w:ascii="宋体" w:eastAsia="宋体" w:hAnsi="宋体" w:hint="eastAsia"/>
                <w:sz w:val="24"/>
                <w:szCs w:val="24"/>
              </w:rPr>
              <w:t xml:space="preserve"> </w:t>
            </w:r>
            <w:r w:rsidRPr="00FE1D76">
              <w:rPr>
                <w:rFonts w:ascii="宋体" w:eastAsia="宋体" w:hAnsi="宋体"/>
                <w:sz w:val="24"/>
                <w:szCs w:val="24"/>
              </w:rPr>
              <w:t>ms，等效扫描速度＞1.6</w:t>
            </w:r>
            <w:r w:rsidRPr="00FE1D76">
              <w:rPr>
                <w:rFonts w:ascii="宋体" w:eastAsia="宋体" w:hAnsi="宋体" w:hint="eastAsia"/>
                <w:sz w:val="24"/>
                <w:szCs w:val="24"/>
              </w:rPr>
              <w:t xml:space="preserve"> </w:t>
            </w:r>
            <w:r w:rsidRPr="00FE1D76">
              <w:rPr>
                <w:rFonts w:ascii="宋体" w:eastAsia="宋体" w:hAnsi="宋体"/>
                <w:sz w:val="24"/>
                <w:szCs w:val="24"/>
              </w:rPr>
              <w:t>HZ</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59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3. 电源：230V±10%，AC(交流)，50/60</w:t>
            </w:r>
            <w:r w:rsidRPr="00FE1D76">
              <w:rPr>
                <w:rFonts w:ascii="宋体" w:eastAsia="宋体" w:hAnsi="宋体" w:hint="eastAsia"/>
                <w:sz w:val="24"/>
                <w:szCs w:val="24"/>
              </w:rPr>
              <w:t xml:space="preserve"> </w:t>
            </w:r>
            <w:r w:rsidRPr="00FE1D76">
              <w:rPr>
                <w:rFonts w:ascii="宋体" w:eastAsia="宋体" w:hAnsi="宋体"/>
                <w:sz w:val="24"/>
                <w:szCs w:val="24"/>
              </w:rPr>
              <w:t>Hz</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60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4. 环境温度：18-27℃（最优：18~21℃）；相对湿度：20-80%</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30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5. 源区氮气（&gt;99%），最大消耗量不大于20L/min；高纯氮（&gt;99.999%），用于二级质谱碰撞气和Easy-IC</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30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6. ESI源与APCI源切换只需更换源喷针组件，电晕针旋钮式在线调节，快速简便，切换时间小于 1min，且整个过程无需拆卸离子源</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422"/>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7. 全自动注射泵实现质谱直接进样，自动调谐和校正</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30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8. 离子源腔体具有观察窗口，可以直接观察喷雾效果以及离子源腔体洁净程度</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59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9. 离子传输管金属材质，可独立加热，最高温度可达400℃，进一步提高去溶剂效果和确保离子传输系统抗污染能力；</w:t>
            </w:r>
            <w:r w:rsidRPr="00FE1D76">
              <w:rPr>
                <w:rFonts w:ascii="宋体" w:eastAsia="宋体" w:hAnsi="宋体" w:hint="eastAsia"/>
                <w:sz w:val="24"/>
                <w:szCs w:val="24"/>
              </w:rPr>
              <w:t>同时</w:t>
            </w:r>
            <w:r w:rsidRPr="00FE1D76">
              <w:rPr>
                <w:rFonts w:ascii="宋体" w:eastAsia="宋体" w:hAnsi="宋体"/>
                <w:sz w:val="24"/>
                <w:szCs w:val="24"/>
              </w:rPr>
              <w:t>需要额外</w:t>
            </w:r>
            <w:r w:rsidRPr="00FE1D76">
              <w:rPr>
                <w:rFonts w:ascii="宋体" w:eastAsia="宋体" w:hAnsi="宋体" w:hint="eastAsia"/>
                <w:sz w:val="24"/>
                <w:szCs w:val="24"/>
              </w:rPr>
              <w:t>配备</w:t>
            </w:r>
            <w:r w:rsidRPr="00FE1D76">
              <w:rPr>
                <w:rFonts w:ascii="宋体" w:eastAsia="宋体" w:hAnsi="宋体"/>
                <w:sz w:val="24"/>
                <w:szCs w:val="24"/>
              </w:rPr>
              <w:t>5-10根原厂全新的离子传输管作为备用</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59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10. 带轴向场和过滤作用的双弯曲几何设计的主动离子束传输组件，可以阻挡中性粒子和高速分子团，保持离子传输通道的干净，减少噪音，提高灵敏度和仪器耐用性</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59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11. 质量范围</w:t>
            </w:r>
            <w:r w:rsidR="00627402">
              <w:rPr>
                <w:rFonts w:ascii="宋体" w:eastAsia="宋体" w:hAnsi="宋体"/>
                <w:sz w:val="24"/>
                <w:szCs w:val="24"/>
              </w:rPr>
              <w:t>40-3</w:t>
            </w:r>
            <w:r w:rsidRPr="00FE1D76">
              <w:rPr>
                <w:rFonts w:ascii="宋体" w:eastAsia="宋体" w:hAnsi="宋体"/>
                <w:sz w:val="24"/>
                <w:szCs w:val="24"/>
              </w:rPr>
              <w:t xml:space="preserve">000 m/z </w:t>
            </w:r>
          </w:p>
        </w:tc>
        <w:tc>
          <w:tcPr>
            <w:tcW w:w="1490" w:type="dxa"/>
            <w:vMerge/>
            <w:vAlign w:val="center"/>
          </w:tcPr>
          <w:p w:rsidR="0076448C" w:rsidRPr="00FE1D76" w:rsidRDefault="0076448C" w:rsidP="00FC3E1A">
            <w:pPr>
              <w:jc w:val="center"/>
              <w:rPr>
                <w:rFonts w:ascii="宋体" w:eastAsia="宋体" w:hAnsi="宋体"/>
                <w:sz w:val="24"/>
                <w:szCs w:val="24"/>
              </w:rPr>
            </w:pPr>
          </w:p>
        </w:tc>
      </w:tr>
      <w:tr w:rsidR="0076448C" w:rsidRPr="00FE1D76" w:rsidTr="00FC3E1A">
        <w:trPr>
          <w:trHeight w:val="300"/>
        </w:trPr>
        <w:tc>
          <w:tcPr>
            <w:tcW w:w="795" w:type="dxa"/>
            <w:vMerge/>
            <w:vAlign w:val="center"/>
          </w:tcPr>
          <w:p w:rsidR="0076448C" w:rsidRPr="00FE1D76" w:rsidRDefault="0076448C" w:rsidP="00FC3E1A">
            <w:pPr>
              <w:jc w:val="center"/>
              <w:rPr>
                <w:rFonts w:ascii="宋体" w:eastAsia="宋体" w:hAnsi="宋体"/>
                <w:sz w:val="24"/>
                <w:szCs w:val="24"/>
              </w:rPr>
            </w:pPr>
          </w:p>
        </w:tc>
        <w:tc>
          <w:tcPr>
            <w:tcW w:w="795" w:type="dxa"/>
            <w:vMerge/>
            <w:vAlign w:val="center"/>
          </w:tcPr>
          <w:p w:rsidR="0076448C" w:rsidRPr="00FE1D76" w:rsidRDefault="0076448C" w:rsidP="00FC3E1A">
            <w:pPr>
              <w:rPr>
                <w:rFonts w:ascii="宋体" w:eastAsia="宋体" w:hAnsi="宋体"/>
                <w:sz w:val="24"/>
                <w:szCs w:val="24"/>
              </w:rPr>
            </w:pPr>
          </w:p>
        </w:tc>
        <w:tc>
          <w:tcPr>
            <w:tcW w:w="6882" w:type="dxa"/>
            <w:shd w:val="clear" w:color="auto" w:fill="auto"/>
            <w:vAlign w:val="center"/>
          </w:tcPr>
          <w:p w:rsidR="0076448C" w:rsidRPr="00FE1D76" w:rsidRDefault="0076448C" w:rsidP="00FC3E1A">
            <w:pPr>
              <w:rPr>
                <w:rFonts w:ascii="宋体" w:eastAsia="宋体" w:hAnsi="宋体"/>
                <w:sz w:val="24"/>
                <w:szCs w:val="24"/>
              </w:rPr>
            </w:pPr>
            <w:r w:rsidRPr="00FE1D76">
              <w:rPr>
                <w:rFonts w:ascii="宋体" w:eastAsia="宋体" w:hAnsi="宋体"/>
                <w:sz w:val="24"/>
                <w:szCs w:val="24"/>
              </w:rPr>
              <w:t>12．质谱采集速率：最高22Hz</w:t>
            </w:r>
          </w:p>
        </w:tc>
        <w:tc>
          <w:tcPr>
            <w:tcW w:w="1490" w:type="dxa"/>
            <w:vMerge/>
            <w:vAlign w:val="center"/>
          </w:tcPr>
          <w:p w:rsidR="0076448C" w:rsidRPr="00FE1D76" w:rsidRDefault="0076448C" w:rsidP="00FC3E1A">
            <w:pPr>
              <w:jc w:val="center"/>
              <w:rPr>
                <w:rFonts w:ascii="宋体" w:eastAsia="宋体" w:hAnsi="宋体"/>
                <w:sz w:val="24"/>
                <w:szCs w:val="24"/>
              </w:rPr>
            </w:pPr>
          </w:p>
        </w:tc>
      </w:tr>
    </w:tbl>
    <w:p w:rsidR="00C97C14" w:rsidRDefault="00C97C14" w:rsidP="00C97C14">
      <w:pPr>
        <w:spacing w:line="360" w:lineRule="auto"/>
        <w:rPr>
          <w:rFonts w:ascii="宋体" w:eastAsia="宋体" w:hAnsi="宋体" w:hint="eastAsia"/>
          <w:sz w:val="24"/>
          <w:szCs w:val="24"/>
        </w:rPr>
      </w:pPr>
    </w:p>
    <w:p w:rsidR="00FB4AD5" w:rsidRPr="00C97C14" w:rsidRDefault="00C97C14" w:rsidP="00C97C14">
      <w:pPr>
        <w:spacing w:line="360" w:lineRule="auto"/>
        <w:rPr>
          <w:rFonts w:ascii="宋体" w:eastAsia="宋体" w:hAnsi="宋体"/>
          <w:sz w:val="24"/>
          <w:szCs w:val="24"/>
        </w:rPr>
      </w:pPr>
      <w:r>
        <w:rPr>
          <w:rFonts w:ascii="宋体" w:eastAsia="宋体" w:hAnsi="宋体" w:hint="eastAsia"/>
          <w:sz w:val="24"/>
          <w:szCs w:val="24"/>
        </w:rPr>
        <w:lastRenderedPageBreak/>
        <w:t>四、</w:t>
      </w:r>
      <w:r w:rsidR="00640371" w:rsidRPr="00C97C14">
        <w:rPr>
          <w:rFonts w:ascii="宋体" w:eastAsia="宋体" w:hAnsi="宋体"/>
          <w:sz w:val="24"/>
          <w:szCs w:val="24"/>
        </w:rPr>
        <w:t>其他</w:t>
      </w:r>
    </w:p>
    <w:p w:rsidR="00FB4AD5" w:rsidRPr="00392BDD" w:rsidRDefault="00392BDD" w:rsidP="00392BDD">
      <w:pPr>
        <w:spacing w:line="360" w:lineRule="auto"/>
        <w:rPr>
          <w:rFonts w:ascii="宋体" w:eastAsia="宋体" w:hAnsi="宋体"/>
          <w:sz w:val="24"/>
          <w:szCs w:val="24"/>
        </w:rPr>
      </w:pPr>
      <w:r>
        <w:rPr>
          <w:rFonts w:ascii="宋体" w:eastAsia="宋体" w:hAnsi="宋体" w:hint="eastAsia"/>
          <w:sz w:val="24"/>
          <w:szCs w:val="24"/>
        </w:rPr>
        <w:t>1、</w:t>
      </w:r>
      <w:r w:rsidR="00640371" w:rsidRPr="00392BDD">
        <w:rPr>
          <w:rFonts w:ascii="宋体" w:eastAsia="宋体" w:hAnsi="宋体" w:hint="eastAsia"/>
          <w:sz w:val="24"/>
          <w:szCs w:val="24"/>
        </w:rPr>
        <w:t>服务期：</w:t>
      </w:r>
      <w:r w:rsidR="00FC3E1A" w:rsidRPr="00392BDD">
        <w:rPr>
          <w:rFonts w:ascii="宋体" w:eastAsia="宋体" w:hAnsi="宋体" w:hint="eastAsia"/>
          <w:sz w:val="24"/>
          <w:szCs w:val="24"/>
        </w:rPr>
        <w:t>2</w:t>
      </w:r>
      <w:r w:rsidR="00640371" w:rsidRPr="00392BDD">
        <w:rPr>
          <w:rFonts w:ascii="宋体" w:eastAsia="宋体" w:hAnsi="宋体" w:hint="eastAsia"/>
          <w:sz w:val="24"/>
          <w:szCs w:val="24"/>
        </w:rPr>
        <w:t>年</w:t>
      </w:r>
    </w:p>
    <w:p w:rsidR="00FB4AD5" w:rsidRPr="00392BDD" w:rsidRDefault="00392BDD" w:rsidP="00392BDD">
      <w:pPr>
        <w:spacing w:line="360" w:lineRule="auto"/>
        <w:rPr>
          <w:rFonts w:ascii="宋体" w:eastAsia="宋体" w:hAnsi="宋体"/>
          <w:sz w:val="24"/>
          <w:szCs w:val="24"/>
        </w:rPr>
      </w:pPr>
      <w:r>
        <w:rPr>
          <w:rFonts w:ascii="宋体" w:eastAsia="宋体" w:hAnsi="宋体" w:hint="eastAsia"/>
          <w:sz w:val="24"/>
          <w:szCs w:val="24"/>
        </w:rPr>
        <w:t>2、</w:t>
      </w:r>
      <w:r w:rsidR="00640371" w:rsidRPr="00392BDD">
        <w:rPr>
          <w:rFonts w:ascii="宋体" w:eastAsia="宋体" w:hAnsi="宋体" w:hint="eastAsia"/>
          <w:sz w:val="24"/>
          <w:szCs w:val="24"/>
        </w:rPr>
        <w:t>服务要求（技术支持工作内容）主要包括：</w:t>
      </w:r>
    </w:p>
    <w:p w:rsidR="00FB4AD5" w:rsidRDefault="00640371" w:rsidP="006C6C89">
      <w:pPr>
        <w:pStyle w:val="a6"/>
        <w:spacing w:line="360" w:lineRule="auto"/>
        <w:ind w:left="420" w:firstLineChars="0" w:firstLine="0"/>
        <w:rPr>
          <w:rFonts w:ascii="宋体" w:eastAsia="宋体" w:hAnsi="宋体"/>
          <w:sz w:val="24"/>
          <w:szCs w:val="24"/>
        </w:rPr>
      </w:pPr>
      <w:r>
        <w:rPr>
          <w:rFonts w:ascii="宋体" w:eastAsia="宋体" w:hAnsi="宋体" w:hint="eastAsia"/>
          <w:sz w:val="24"/>
          <w:szCs w:val="24"/>
        </w:rPr>
        <w:t>1）提供从血液样本收集、菌群测序实验、数据分析的项目解决方案</w:t>
      </w:r>
    </w:p>
    <w:p w:rsidR="00FB4AD5" w:rsidRDefault="00640371" w:rsidP="006C6C89">
      <w:pPr>
        <w:pStyle w:val="a6"/>
        <w:spacing w:line="360" w:lineRule="auto"/>
        <w:ind w:left="420" w:firstLineChars="0" w:firstLine="0"/>
        <w:rPr>
          <w:rFonts w:ascii="宋体" w:eastAsia="宋体" w:hAnsi="宋体"/>
          <w:sz w:val="24"/>
          <w:szCs w:val="24"/>
        </w:rPr>
      </w:pPr>
      <w:r>
        <w:rPr>
          <w:rFonts w:ascii="宋体" w:eastAsia="宋体" w:hAnsi="宋体" w:hint="eastAsia"/>
          <w:sz w:val="24"/>
          <w:szCs w:val="24"/>
        </w:rPr>
        <w:t>2）提供从下机数据到多目标区域数据整合到菌群鉴定到污染菌过滤的分析方案</w:t>
      </w:r>
    </w:p>
    <w:p w:rsidR="00FB4AD5" w:rsidRDefault="00640371" w:rsidP="006C6C89">
      <w:pPr>
        <w:pStyle w:val="a6"/>
        <w:spacing w:line="360" w:lineRule="auto"/>
        <w:ind w:left="420" w:firstLineChars="0" w:firstLine="0"/>
        <w:rPr>
          <w:rFonts w:ascii="宋体" w:eastAsia="宋体" w:hAnsi="宋体"/>
          <w:sz w:val="24"/>
          <w:szCs w:val="24"/>
        </w:rPr>
      </w:pPr>
      <w:r>
        <w:rPr>
          <w:rFonts w:ascii="宋体" w:eastAsia="宋体" w:hAnsi="宋体" w:hint="eastAsia"/>
          <w:sz w:val="24"/>
          <w:szCs w:val="24"/>
        </w:rPr>
        <w:t>3）提供去除污染菌后的菌群数据结果</w:t>
      </w:r>
    </w:p>
    <w:p w:rsidR="00FB4AD5" w:rsidRDefault="00640371" w:rsidP="006C6C89">
      <w:pPr>
        <w:pStyle w:val="a6"/>
        <w:spacing w:line="360" w:lineRule="auto"/>
        <w:ind w:left="420" w:firstLineChars="0" w:firstLine="0"/>
        <w:rPr>
          <w:rFonts w:ascii="宋体" w:eastAsia="宋体" w:hAnsi="宋体"/>
          <w:sz w:val="24"/>
          <w:szCs w:val="24"/>
        </w:rPr>
      </w:pPr>
      <w:r>
        <w:rPr>
          <w:rFonts w:ascii="宋体" w:eastAsia="宋体" w:hAnsi="宋体" w:hint="eastAsia"/>
          <w:sz w:val="24"/>
          <w:szCs w:val="24"/>
        </w:rPr>
        <w:t>4）快速响应课题组对血液菌群数据分析的相关技术支持</w:t>
      </w:r>
    </w:p>
    <w:p w:rsidR="00DD33DE" w:rsidRPr="00DD33DE" w:rsidRDefault="00DD33DE" w:rsidP="002B1FC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DD33DE">
        <w:rPr>
          <w:rFonts w:ascii="Times New Roman" w:eastAsia="宋体" w:hAnsi="Times New Roman" w:cs="Times New Roman" w:hint="eastAsia"/>
          <w:sz w:val="24"/>
          <w:szCs w:val="24"/>
        </w:rPr>
        <w:t>硬件配置：选择灵敏度与分辨率同时兼得、稳定性较好、扫描速率较高的质谱仪进行样本数据采集；</w:t>
      </w:r>
    </w:p>
    <w:p w:rsidR="00DD33DE" w:rsidRPr="00DD33DE" w:rsidRDefault="00DD33DE" w:rsidP="006C6C8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Pr="00DD33DE">
        <w:rPr>
          <w:rFonts w:ascii="Times New Roman" w:eastAsia="宋体" w:hAnsi="Times New Roman" w:cs="Times New Roman" w:hint="eastAsia"/>
          <w:sz w:val="24"/>
          <w:szCs w:val="24"/>
        </w:rPr>
        <w:t>仪器维护：制定仪器维护</w:t>
      </w:r>
      <w:r w:rsidRPr="00DD33DE">
        <w:rPr>
          <w:rFonts w:ascii="Times New Roman" w:eastAsia="宋体" w:hAnsi="Times New Roman" w:cs="Times New Roman"/>
          <w:sz w:val="24"/>
          <w:szCs w:val="24"/>
        </w:rPr>
        <w:t>SOP</w:t>
      </w:r>
      <w:r w:rsidRPr="00DD33DE">
        <w:rPr>
          <w:rFonts w:ascii="Times New Roman" w:eastAsia="宋体" w:hAnsi="Times New Roman" w:cs="Times New Roman"/>
          <w:sz w:val="24"/>
          <w:szCs w:val="24"/>
        </w:rPr>
        <w:t>，每日检查室温和相对湿度、检查质谱仪各级真空度、检查各路气体输出压力、更换水相流动相；每周清洗离子源挡锥和离子传输管、进行机械泵震气、并对质谱进行校正；每半年清洗风扇空气滤网、更换机械泵泵油、关机清洗</w:t>
      </w:r>
      <w:r w:rsidRPr="00DD33DE">
        <w:rPr>
          <w:rFonts w:ascii="Times New Roman" w:eastAsia="宋体" w:hAnsi="Times New Roman" w:cs="Times New Roman"/>
          <w:sz w:val="24"/>
          <w:szCs w:val="24"/>
        </w:rPr>
        <w:t>S-Lens</w:t>
      </w:r>
      <w:r w:rsidRPr="00DD33DE">
        <w:rPr>
          <w:rFonts w:ascii="Times New Roman" w:eastAsia="宋体" w:hAnsi="Times New Roman" w:cs="Times New Roman"/>
          <w:sz w:val="24"/>
          <w:szCs w:val="24"/>
        </w:rPr>
        <w:t>和</w:t>
      </w:r>
      <w:r w:rsidRPr="00DD33DE">
        <w:rPr>
          <w:rFonts w:ascii="Times New Roman" w:eastAsia="宋体" w:hAnsi="Times New Roman" w:cs="Times New Roman"/>
          <w:sz w:val="24"/>
          <w:szCs w:val="24"/>
        </w:rPr>
        <w:t>Exit Lens</w:t>
      </w:r>
      <w:r w:rsidRPr="00DD33DE">
        <w:rPr>
          <w:rFonts w:ascii="Times New Roman" w:eastAsia="宋体" w:hAnsi="Times New Roman" w:cs="Times New Roman"/>
          <w:sz w:val="24"/>
          <w:szCs w:val="24"/>
        </w:rPr>
        <w:t>等一系列维护操作；</w:t>
      </w:r>
    </w:p>
    <w:p w:rsidR="00DD33DE" w:rsidRPr="00DD33DE" w:rsidRDefault="00DD33DE" w:rsidP="006C6C8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hint="eastAsia"/>
          <w:sz w:val="24"/>
          <w:szCs w:val="24"/>
        </w:rPr>
        <w:t>）</w:t>
      </w:r>
      <w:r w:rsidRPr="00DD33DE">
        <w:rPr>
          <w:rFonts w:ascii="Times New Roman" w:eastAsia="宋体" w:hAnsi="Times New Roman" w:cs="Times New Roman" w:hint="eastAsia"/>
          <w:sz w:val="24"/>
          <w:szCs w:val="24"/>
        </w:rPr>
        <w:t>批次效应：为降低批次影响，针对大队列样本。采用</w:t>
      </w:r>
      <w:r w:rsidRPr="00DD33DE">
        <w:rPr>
          <w:rFonts w:ascii="Times New Roman" w:eastAsia="宋体" w:hAnsi="Times New Roman" w:cs="Times New Roman"/>
          <w:sz w:val="24"/>
          <w:szCs w:val="24"/>
        </w:rPr>
        <w:t>2</w:t>
      </w:r>
      <w:r w:rsidRPr="00DD33DE">
        <w:rPr>
          <w:rFonts w:ascii="Times New Roman" w:eastAsia="宋体" w:hAnsi="Times New Roman" w:cs="Times New Roman"/>
          <w:sz w:val="24"/>
          <w:szCs w:val="24"/>
        </w:rPr>
        <w:t>台仪器采集，</w:t>
      </w:r>
      <w:r w:rsidRPr="00DD33DE">
        <w:rPr>
          <w:rFonts w:ascii="Times New Roman" w:eastAsia="宋体" w:hAnsi="Times New Roman" w:cs="Times New Roman"/>
          <w:sz w:val="24"/>
          <w:szCs w:val="24"/>
        </w:rPr>
        <w:t>1</w:t>
      </w:r>
      <w:r w:rsidRPr="00DD33DE">
        <w:rPr>
          <w:rFonts w:ascii="Times New Roman" w:eastAsia="宋体" w:hAnsi="Times New Roman" w:cs="Times New Roman"/>
          <w:sz w:val="24"/>
          <w:szCs w:val="24"/>
        </w:rPr>
        <w:t>台只采正离子，</w:t>
      </w:r>
      <w:r w:rsidRPr="00DD33DE">
        <w:rPr>
          <w:rFonts w:ascii="Times New Roman" w:eastAsia="宋体" w:hAnsi="Times New Roman" w:cs="Times New Roman"/>
          <w:sz w:val="24"/>
          <w:szCs w:val="24"/>
        </w:rPr>
        <w:t>1</w:t>
      </w:r>
      <w:r w:rsidRPr="00DD33DE">
        <w:rPr>
          <w:rFonts w:ascii="Times New Roman" w:eastAsia="宋体" w:hAnsi="Times New Roman" w:cs="Times New Roman"/>
          <w:sz w:val="24"/>
          <w:szCs w:val="24"/>
        </w:rPr>
        <w:t>台只采负离子，数据分析时正负离子分别校正；</w:t>
      </w:r>
    </w:p>
    <w:p w:rsidR="00DD33DE" w:rsidRPr="00DD33DE" w:rsidRDefault="00DD33DE" w:rsidP="006C6C8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r w:rsidRPr="00DD33DE">
        <w:rPr>
          <w:rFonts w:ascii="Times New Roman" w:eastAsia="宋体" w:hAnsi="Times New Roman" w:cs="Times New Roman"/>
          <w:sz w:val="24"/>
          <w:szCs w:val="24"/>
        </w:rPr>
        <w:t>）质量监控：选择</w:t>
      </w:r>
      <w:r w:rsidRPr="00DD33DE">
        <w:rPr>
          <w:rFonts w:ascii="Times New Roman" w:eastAsia="宋体" w:hAnsi="Times New Roman" w:cs="Times New Roman"/>
          <w:sz w:val="24"/>
          <w:szCs w:val="24"/>
        </w:rPr>
        <w:t>QC</w:t>
      </w:r>
      <w:r w:rsidRPr="00DD33DE">
        <w:rPr>
          <w:rFonts w:ascii="Times New Roman" w:eastAsia="宋体" w:hAnsi="Times New Roman" w:cs="Times New Roman"/>
          <w:sz w:val="24"/>
          <w:szCs w:val="24"/>
        </w:rPr>
        <w:t>样</w:t>
      </w:r>
      <w:bookmarkStart w:id="0" w:name="_GoBack"/>
      <w:bookmarkEnd w:id="0"/>
      <w:r w:rsidRPr="00DD33DE">
        <w:rPr>
          <w:rFonts w:ascii="Times New Roman" w:eastAsia="宋体" w:hAnsi="Times New Roman" w:cs="Times New Roman"/>
          <w:sz w:val="24"/>
          <w:szCs w:val="24"/>
        </w:rPr>
        <w:t>本进行质控，定期监控记录</w:t>
      </w:r>
      <w:r w:rsidRPr="00DD33DE">
        <w:rPr>
          <w:rFonts w:ascii="Times New Roman" w:eastAsia="宋体" w:hAnsi="Times New Roman" w:cs="Times New Roman"/>
          <w:sz w:val="24"/>
          <w:szCs w:val="24"/>
        </w:rPr>
        <w:t>QC</w:t>
      </w:r>
      <w:r w:rsidRPr="00DD33DE">
        <w:rPr>
          <w:rFonts w:ascii="Times New Roman" w:eastAsia="宋体" w:hAnsi="Times New Roman" w:cs="Times New Roman"/>
          <w:sz w:val="24"/>
          <w:szCs w:val="24"/>
        </w:rPr>
        <w:t>样本的</w:t>
      </w:r>
      <w:r w:rsidRPr="00DD33DE">
        <w:rPr>
          <w:rFonts w:ascii="Times New Roman" w:eastAsia="宋体" w:hAnsi="Times New Roman" w:cs="Times New Roman"/>
          <w:sz w:val="24"/>
          <w:szCs w:val="24"/>
        </w:rPr>
        <w:t>TIC</w:t>
      </w:r>
      <w:r w:rsidRPr="00DD33DE">
        <w:rPr>
          <w:rFonts w:ascii="Times New Roman" w:eastAsia="宋体" w:hAnsi="Times New Roman" w:cs="Times New Roman"/>
          <w:sz w:val="24"/>
          <w:szCs w:val="24"/>
        </w:rPr>
        <w:t>重叠性和鉴定数。</w:t>
      </w:r>
    </w:p>
    <w:p w:rsidR="00DD33DE" w:rsidRPr="00DD33DE" w:rsidRDefault="00DD33DE" w:rsidP="006C6C89">
      <w:pPr>
        <w:spacing w:line="360" w:lineRule="auto"/>
        <w:rPr>
          <w:rFonts w:ascii="Times New Roman" w:eastAsia="宋体" w:hAnsi="Times New Roman" w:cs="Times New Roman"/>
          <w:sz w:val="24"/>
          <w:szCs w:val="24"/>
        </w:rPr>
      </w:pPr>
      <w:r w:rsidRPr="00DD33DE">
        <w:rPr>
          <w:rFonts w:ascii="Times New Roman" w:eastAsia="宋体" w:hAnsi="Times New Roman" w:cs="Times New Roman"/>
          <w:sz w:val="24"/>
          <w:szCs w:val="24"/>
        </w:rPr>
        <w:t>硬件配置：选择灵敏度与分辨率同时兼得、稳定性较好、扫描速率较高的质谱仪进行样本数据采集；</w:t>
      </w:r>
    </w:p>
    <w:p w:rsidR="00FB4AD5" w:rsidRPr="006C6C89" w:rsidRDefault="00D67876" w:rsidP="006C6C89">
      <w:pPr>
        <w:pStyle w:val="a6"/>
        <w:spacing w:line="360" w:lineRule="auto"/>
        <w:ind w:firstLine="480"/>
        <w:rPr>
          <w:rFonts w:ascii="宋体" w:eastAsia="宋体" w:hAnsi="宋体"/>
          <w:sz w:val="24"/>
          <w:szCs w:val="24"/>
        </w:rPr>
      </w:pPr>
      <w:r w:rsidRPr="006C6C89">
        <w:rPr>
          <w:rFonts w:ascii="宋体" w:eastAsia="宋体" w:hAnsi="宋体" w:hint="eastAsia"/>
          <w:sz w:val="24"/>
          <w:szCs w:val="24"/>
        </w:rPr>
        <w:t>9）</w:t>
      </w:r>
      <w:r w:rsidR="00640371" w:rsidRPr="006C6C89">
        <w:rPr>
          <w:rFonts w:ascii="宋体" w:eastAsia="宋体" w:hAnsi="宋体" w:hint="eastAsia"/>
          <w:sz w:val="24"/>
          <w:szCs w:val="24"/>
        </w:rPr>
        <w:t>售后服务：服</w:t>
      </w:r>
      <w:r w:rsidR="00640371">
        <w:rPr>
          <w:rFonts w:ascii="宋体" w:eastAsia="宋体" w:hAnsi="宋体" w:hint="eastAsia"/>
          <w:sz w:val="24"/>
          <w:szCs w:val="24"/>
        </w:rPr>
        <w:t>务期满后需提供至少3年的售后服务</w:t>
      </w:r>
      <w:r w:rsidR="006C6C89">
        <w:rPr>
          <w:rFonts w:ascii="宋体" w:eastAsia="宋体" w:hAnsi="宋体" w:hint="eastAsia"/>
          <w:sz w:val="24"/>
          <w:szCs w:val="24"/>
        </w:rPr>
        <w:t>，</w:t>
      </w:r>
      <w:r w:rsidR="006C6C89" w:rsidRPr="006C6C89">
        <w:rPr>
          <w:rFonts w:ascii="宋体" w:eastAsia="宋体" w:hAnsi="宋体" w:hint="eastAsia"/>
          <w:sz w:val="24"/>
          <w:szCs w:val="24"/>
        </w:rPr>
        <w:t>包括数据疑问的咨询、数据储存等服务。</w:t>
      </w:r>
    </w:p>
    <w:p w:rsidR="00FB4AD5" w:rsidRDefault="00FB4AD5" w:rsidP="006C6C89">
      <w:pPr>
        <w:spacing w:line="360" w:lineRule="auto"/>
        <w:rPr>
          <w:rFonts w:ascii="宋体" w:eastAsia="宋体" w:hAnsi="宋体"/>
          <w:sz w:val="24"/>
          <w:szCs w:val="24"/>
        </w:rPr>
      </w:pPr>
    </w:p>
    <w:sectPr w:rsidR="00FB4AD5">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75" w:rsidRDefault="007A1775" w:rsidP="000A7222">
      <w:r>
        <w:separator/>
      </w:r>
    </w:p>
  </w:endnote>
  <w:endnote w:type="continuationSeparator" w:id="0">
    <w:p w:rsidR="007A1775" w:rsidRDefault="007A1775" w:rsidP="000A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enlo">
    <w:altName w:val="Leelawadee UI"/>
    <w:charset w:val="00"/>
    <w:family w:val="modern"/>
    <w:pitch w:val="default"/>
    <w:sig w:usb0="00000000" w:usb1="00000000" w:usb2="02000028"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32964"/>
      <w:docPartObj>
        <w:docPartGallery w:val="Page Numbers (Bottom of Page)"/>
        <w:docPartUnique/>
      </w:docPartObj>
    </w:sdtPr>
    <w:sdtContent>
      <w:p w:rsidR="00FC3E1A" w:rsidRDefault="00FC3E1A">
        <w:pPr>
          <w:pStyle w:val="a3"/>
          <w:jc w:val="right"/>
        </w:pPr>
        <w:r>
          <w:fldChar w:fldCharType="begin"/>
        </w:r>
        <w:r>
          <w:instrText>PAGE   \* MERGEFORMAT</w:instrText>
        </w:r>
        <w:r>
          <w:fldChar w:fldCharType="separate"/>
        </w:r>
        <w:r w:rsidR="00D537AB" w:rsidRPr="00D537AB">
          <w:rPr>
            <w:noProof/>
            <w:lang w:val="zh-CN"/>
          </w:rPr>
          <w:t>1</w:t>
        </w:r>
        <w:r>
          <w:fldChar w:fldCharType="end"/>
        </w:r>
      </w:p>
    </w:sdtContent>
  </w:sdt>
  <w:p w:rsidR="00FC3E1A" w:rsidRDefault="00FC3E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75" w:rsidRDefault="007A1775" w:rsidP="000A7222">
      <w:r>
        <w:separator/>
      </w:r>
    </w:p>
  </w:footnote>
  <w:footnote w:type="continuationSeparator" w:id="0">
    <w:p w:rsidR="007A1775" w:rsidRDefault="007A1775" w:rsidP="000A7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376"/>
    <w:multiLevelType w:val="multilevel"/>
    <w:tmpl w:val="04625376"/>
    <w:lvl w:ilvl="0">
      <w:start w:val="1"/>
      <w:numFmt w:val="decimal"/>
      <w:pStyle w:val="Hyper"/>
      <w:isLgl/>
      <w:suff w:val="space"/>
      <w:lvlText w:val="第%1章"/>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Hyper0"/>
      <w:isLgl/>
      <w:suff w:val="space"/>
      <w:lvlText w:val="%1.%2"/>
      <w:lvlJc w:val="left"/>
      <w:pPr>
        <w:ind w:left="0" w:firstLine="0"/>
      </w:pPr>
      <w:rPr>
        <w:rFonts w:ascii="Times New Roman" w:hAnsi="Times New Roman"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start w:val="1"/>
      <w:numFmt w:val="decimal"/>
      <w:isLgl/>
      <w:suff w:val="space"/>
      <w:lvlText w:val="%1.%2.%3"/>
      <w:lvlJc w:val="left"/>
      <w:pPr>
        <w:ind w:left="0" w:firstLine="0"/>
      </w:pPr>
      <w:rPr>
        <w:rFonts w:ascii="Times New Roman" w:hAnsi="Times New Roman" w:hint="default"/>
        <w:b/>
        <w:i w:val="0"/>
        <w:sz w:val="28"/>
      </w:rPr>
    </w:lvl>
    <w:lvl w:ilvl="3">
      <w:start w:val="1"/>
      <w:numFmt w:val="decimal"/>
      <w:pStyle w:val="Hyper1"/>
      <w:isLgl/>
      <w:lvlText w:val="%1.%2.%3.%4"/>
      <w:lvlJc w:val="left"/>
      <w:pPr>
        <w:ind w:left="0" w:firstLine="0"/>
      </w:pPr>
      <w:rPr>
        <w:rFonts w:ascii="Times New Roman" w:eastAsia="宋体" w:hAnsi="Times New Roman" w:hint="default"/>
        <w:b/>
        <w:i w:val="0"/>
        <w:sz w:val="24"/>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
    <w:nsid w:val="57A100E4"/>
    <w:multiLevelType w:val="multilevel"/>
    <w:tmpl w:val="57A100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C730344"/>
    <w:multiLevelType w:val="multilevel"/>
    <w:tmpl w:val="5C730344"/>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65D474E6"/>
    <w:multiLevelType w:val="singleLevel"/>
    <w:tmpl w:val="65D474E6"/>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ZDM0OTkxNjlmNDEwNGIzMDE0NDQ0MTcxY2I1MGUifQ=="/>
  </w:docVars>
  <w:rsids>
    <w:rsidRoot w:val="00FC2D09"/>
    <w:rsid w:val="000676BC"/>
    <w:rsid w:val="0007789B"/>
    <w:rsid w:val="00082008"/>
    <w:rsid w:val="0009537D"/>
    <w:rsid w:val="000A48A4"/>
    <w:rsid w:val="000A7222"/>
    <w:rsid w:val="000B3AFF"/>
    <w:rsid w:val="000C4C96"/>
    <w:rsid w:val="001273BD"/>
    <w:rsid w:val="001802F9"/>
    <w:rsid w:val="001C2F6C"/>
    <w:rsid w:val="001C541F"/>
    <w:rsid w:val="001E39EE"/>
    <w:rsid w:val="001F4231"/>
    <w:rsid w:val="00203691"/>
    <w:rsid w:val="0025067A"/>
    <w:rsid w:val="00253791"/>
    <w:rsid w:val="00257358"/>
    <w:rsid w:val="00295988"/>
    <w:rsid w:val="00295AC4"/>
    <w:rsid w:val="002A0B8E"/>
    <w:rsid w:val="002B1FCE"/>
    <w:rsid w:val="002B23DD"/>
    <w:rsid w:val="002B7CFC"/>
    <w:rsid w:val="002D54B0"/>
    <w:rsid w:val="0030633D"/>
    <w:rsid w:val="00306CA8"/>
    <w:rsid w:val="00313CB8"/>
    <w:rsid w:val="00355B40"/>
    <w:rsid w:val="00360654"/>
    <w:rsid w:val="00367373"/>
    <w:rsid w:val="003779A0"/>
    <w:rsid w:val="0038274F"/>
    <w:rsid w:val="00392BDD"/>
    <w:rsid w:val="003A43A8"/>
    <w:rsid w:val="003D08C9"/>
    <w:rsid w:val="003F378D"/>
    <w:rsid w:val="004376AE"/>
    <w:rsid w:val="00437AE9"/>
    <w:rsid w:val="004708D1"/>
    <w:rsid w:val="00475A84"/>
    <w:rsid w:val="00480820"/>
    <w:rsid w:val="0048259F"/>
    <w:rsid w:val="004914A7"/>
    <w:rsid w:val="004C7688"/>
    <w:rsid w:val="004D4632"/>
    <w:rsid w:val="00511B4B"/>
    <w:rsid w:val="00526A66"/>
    <w:rsid w:val="0053730B"/>
    <w:rsid w:val="00565BEC"/>
    <w:rsid w:val="005A50BC"/>
    <w:rsid w:val="005B612A"/>
    <w:rsid w:val="005C288B"/>
    <w:rsid w:val="005C6B83"/>
    <w:rsid w:val="006211B4"/>
    <w:rsid w:val="00627402"/>
    <w:rsid w:val="00640371"/>
    <w:rsid w:val="0064239F"/>
    <w:rsid w:val="006424E5"/>
    <w:rsid w:val="00655786"/>
    <w:rsid w:val="00664489"/>
    <w:rsid w:val="0066768B"/>
    <w:rsid w:val="006A5199"/>
    <w:rsid w:val="006C6C89"/>
    <w:rsid w:val="006D5AD5"/>
    <w:rsid w:val="006F0150"/>
    <w:rsid w:val="006F464F"/>
    <w:rsid w:val="00724FA8"/>
    <w:rsid w:val="00740E86"/>
    <w:rsid w:val="0074505A"/>
    <w:rsid w:val="00745137"/>
    <w:rsid w:val="007501AD"/>
    <w:rsid w:val="00762E41"/>
    <w:rsid w:val="007637D1"/>
    <w:rsid w:val="0076448C"/>
    <w:rsid w:val="00777A41"/>
    <w:rsid w:val="007A1775"/>
    <w:rsid w:val="007B264A"/>
    <w:rsid w:val="007B7624"/>
    <w:rsid w:val="007C1E35"/>
    <w:rsid w:val="007C20F1"/>
    <w:rsid w:val="007D2B1F"/>
    <w:rsid w:val="007E62DB"/>
    <w:rsid w:val="007F063D"/>
    <w:rsid w:val="00811FA9"/>
    <w:rsid w:val="00822279"/>
    <w:rsid w:val="008340DE"/>
    <w:rsid w:val="008625C4"/>
    <w:rsid w:val="008731B8"/>
    <w:rsid w:val="008D03B9"/>
    <w:rsid w:val="008D0E35"/>
    <w:rsid w:val="008D377D"/>
    <w:rsid w:val="00936172"/>
    <w:rsid w:val="009415B3"/>
    <w:rsid w:val="009552D0"/>
    <w:rsid w:val="00966AB4"/>
    <w:rsid w:val="00967B0E"/>
    <w:rsid w:val="00977B3F"/>
    <w:rsid w:val="009A32C7"/>
    <w:rsid w:val="009D64F7"/>
    <w:rsid w:val="009D7A15"/>
    <w:rsid w:val="009E1BB8"/>
    <w:rsid w:val="00A073A2"/>
    <w:rsid w:val="00A16AE0"/>
    <w:rsid w:val="00A709D5"/>
    <w:rsid w:val="00A90C3C"/>
    <w:rsid w:val="00A9191A"/>
    <w:rsid w:val="00AC4B8D"/>
    <w:rsid w:val="00AD4091"/>
    <w:rsid w:val="00AE3976"/>
    <w:rsid w:val="00AE7EEF"/>
    <w:rsid w:val="00B23FE1"/>
    <w:rsid w:val="00B76DFF"/>
    <w:rsid w:val="00B82A40"/>
    <w:rsid w:val="00B84A8D"/>
    <w:rsid w:val="00BE00DC"/>
    <w:rsid w:val="00BE366C"/>
    <w:rsid w:val="00BF4BBA"/>
    <w:rsid w:val="00BF797B"/>
    <w:rsid w:val="00C0564F"/>
    <w:rsid w:val="00C223D8"/>
    <w:rsid w:val="00C64AB1"/>
    <w:rsid w:val="00C669AE"/>
    <w:rsid w:val="00C703D9"/>
    <w:rsid w:val="00C8301C"/>
    <w:rsid w:val="00C93394"/>
    <w:rsid w:val="00C97C14"/>
    <w:rsid w:val="00CA12E9"/>
    <w:rsid w:val="00CA2724"/>
    <w:rsid w:val="00CB76AB"/>
    <w:rsid w:val="00CC1CB0"/>
    <w:rsid w:val="00CC2733"/>
    <w:rsid w:val="00D00520"/>
    <w:rsid w:val="00D23D79"/>
    <w:rsid w:val="00D368CF"/>
    <w:rsid w:val="00D47782"/>
    <w:rsid w:val="00D537AB"/>
    <w:rsid w:val="00D629E5"/>
    <w:rsid w:val="00D64C6D"/>
    <w:rsid w:val="00D67876"/>
    <w:rsid w:val="00D73E50"/>
    <w:rsid w:val="00DB0AFE"/>
    <w:rsid w:val="00DD33DE"/>
    <w:rsid w:val="00DD7552"/>
    <w:rsid w:val="00DE2325"/>
    <w:rsid w:val="00DE6505"/>
    <w:rsid w:val="00DF78E7"/>
    <w:rsid w:val="00E31761"/>
    <w:rsid w:val="00E71A5A"/>
    <w:rsid w:val="00E93EE4"/>
    <w:rsid w:val="00ED1468"/>
    <w:rsid w:val="00ED17AD"/>
    <w:rsid w:val="00EE1D07"/>
    <w:rsid w:val="00EE6BF4"/>
    <w:rsid w:val="00F076D5"/>
    <w:rsid w:val="00F1503E"/>
    <w:rsid w:val="00F340EF"/>
    <w:rsid w:val="00F35682"/>
    <w:rsid w:val="00F43AFC"/>
    <w:rsid w:val="00F507EC"/>
    <w:rsid w:val="00F532AF"/>
    <w:rsid w:val="00F7575A"/>
    <w:rsid w:val="00F77934"/>
    <w:rsid w:val="00F97675"/>
    <w:rsid w:val="00FB171B"/>
    <w:rsid w:val="00FB4AD5"/>
    <w:rsid w:val="00FC2D09"/>
    <w:rsid w:val="00FC3E1A"/>
    <w:rsid w:val="00FE1D76"/>
    <w:rsid w:val="00FE2415"/>
    <w:rsid w:val="00FF0188"/>
    <w:rsid w:val="05880374"/>
    <w:rsid w:val="09CB4CD3"/>
    <w:rsid w:val="0A314B36"/>
    <w:rsid w:val="0CD3124A"/>
    <w:rsid w:val="13A53678"/>
    <w:rsid w:val="144933C4"/>
    <w:rsid w:val="1A225C38"/>
    <w:rsid w:val="1EBF26D3"/>
    <w:rsid w:val="2F81180C"/>
    <w:rsid w:val="34607C42"/>
    <w:rsid w:val="3ABC7B9C"/>
    <w:rsid w:val="3D170DEA"/>
    <w:rsid w:val="43633DC5"/>
    <w:rsid w:val="4C512C0A"/>
    <w:rsid w:val="6B987B83"/>
    <w:rsid w:val="6CA440AD"/>
    <w:rsid w:val="75117326"/>
    <w:rsid w:val="7EF3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Hyper0"/>
    <w:link w:val="1Char"/>
    <w:qFormat/>
    <w:pPr>
      <w:keepNext/>
      <w:keepLines/>
      <w:pageBreakBefore/>
      <w:spacing w:beforeLines="150" w:before="150" w:afterLines="150" w:after="150" w:line="360" w:lineRule="auto"/>
      <w:jc w:val="center"/>
      <w:outlineLvl w:val="0"/>
    </w:pPr>
    <w:rPr>
      <w:rFonts w:ascii="Times New Roman" w:eastAsia="黑体" w:hAnsi="Times New Roman"/>
      <w:b/>
      <w:bCs/>
      <w:kern w:val="44"/>
      <w:sz w:val="32"/>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yper0">
    <w:name w:val="Hyper二级节标题"/>
    <w:basedOn w:val="2"/>
    <w:next w:val="a"/>
    <w:link w:val="Hyper2"/>
    <w:qFormat/>
    <w:pPr>
      <w:numPr>
        <w:ilvl w:val="1"/>
        <w:numId w:val="1"/>
      </w:numPr>
      <w:spacing w:before="120" w:after="120" w:line="360" w:lineRule="auto"/>
    </w:pPr>
    <w:rPr>
      <w:rFonts w:ascii="Times New Roman" w:eastAsia="黑体" w:hAnsi="Times New Roman"/>
      <w:color w:val="000000" w:themeColor="text1"/>
      <w:sz w:val="30"/>
    </w:rPr>
  </w:style>
  <w:style w:type="paragraph" w:styleId="30">
    <w:name w:val="toc 3"/>
    <w:basedOn w:val="a"/>
    <w:next w:val="a"/>
    <w:uiPriority w:val="39"/>
    <w:unhideWhenUsed/>
    <w:qFormat/>
    <w:pPr>
      <w:widowControl/>
      <w:spacing w:after="100" w:line="259" w:lineRule="auto"/>
      <w:ind w:left="440"/>
      <w:jc w:val="left"/>
    </w:pPr>
    <w:rPr>
      <w:rFonts w:ascii="Times New Roman" w:hAnsi="Times New Roman" w:cs="Times New Roman"/>
      <w:kern w:val="0"/>
      <w:sz w:val="22"/>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left" w:pos="1050"/>
        <w:tab w:val="right" w:leader="dot" w:pos="8296"/>
      </w:tabs>
      <w:snapToGrid w:val="0"/>
      <w:spacing w:after="100" w:line="259" w:lineRule="auto"/>
      <w:jc w:val="left"/>
    </w:pPr>
    <w:rPr>
      <w:rFonts w:ascii="Times New Roman" w:hAnsi="Times New Roman" w:cs="Times New Roman"/>
      <w:b/>
      <w:kern w:val="0"/>
      <w:sz w:val="24"/>
    </w:rPr>
  </w:style>
  <w:style w:type="paragraph" w:styleId="40">
    <w:name w:val="toc 4"/>
    <w:basedOn w:val="a"/>
    <w:next w:val="a"/>
    <w:uiPriority w:val="39"/>
    <w:semiHidden/>
    <w:unhideWhenUsed/>
    <w:qFormat/>
    <w:pPr>
      <w:ind w:leftChars="600" w:left="1260"/>
    </w:pPr>
    <w:rPr>
      <w:rFonts w:ascii="Times New Roman" w:hAnsi="Times New Roman"/>
    </w:rPr>
  </w:style>
  <w:style w:type="paragraph" w:styleId="20">
    <w:name w:val="toc 2"/>
    <w:basedOn w:val="a"/>
    <w:next w:val="a"/>
    <w:uiPriority w:val="39"/>
    <w:unhideWhenUsed/>
    <w:qFormat/>
    <w:pPr>
      <w:widowControl/>
      <w:spacing w:after="100" w:line="259" w:lineRule="auto"/>
      <w:ind w:left="220"/>
      <w:jc w:val="left"/>
    </w:pPr>
    <w:rPr>
      <w:rFonts w:ascii="Times New Roman" w:hAnsi="Times New Roman" w:cs="Times New Roman"/>
      <w:kern w:val="0"/>
      <w:sz w:val="22"/>
    </w:rPr>
  </w:style>
  <w:style w:type="table" w:styleId="a5">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yper3">
    <w:name w:val="Hyper表格样式"/>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0" w:beforeAutospacing="0" w:afterLines="0" w:after="0" w:afterAutospacing="0" w:line="240" w:lineRule="auto"/>
        <w:ind w:leftChars="0" w:left="0" w:rightChars="0" w:right="0" w:firstLineChars="0" w:firstLine="0"/>
        <w:jc w:val="center"/>
        <w:textAlignment w:val="center"/>
        <w:outlineLvl w:val="9"/>
      </w:pPr>
      <w:rPr>
        <w:rFonts w:ascii="Times New Roman" w:eastAsia="宋体" w:hAnsi="Times New Roman"/>
        <w:b/>
        <w:i w:val="0"/>
        <w:color w:val="FFFFFF" w:themeColor="background1"/>
        <w:sz w:val="21"/>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2F5496" w:themeFill="accent1" w:themeFillShade="BF"/>
      </w:tcPr>
    </w:tblStylePr>
  </w:style>
  <w:style w:type="paragraph" w:customStyle="1" w:styleId="Hyper4">
    <w:name w:val="Hyper代码"/>
    <w:basedOn w:val="a"/>
    <w:link w:val="Hyper5"/>
    <w:qFormat/>
    <w:pPr>
      <w:jc w:val="left"/>
    </w:pPr>
    <w:rPr>
      <w:rFonts w:ascii="Menlo" w:eastAsia="宋体" w:hAnsi="Menlo" w:cs="Menlo"/>
      <w:szCs w:val="24"/>
    </w:rPr>
  </w:style>
  <w:style w:type="character" w:customStyle="1" w:styleId="Hyper5">
    <w:name w:val="Hyper代码 字符"/>
    <w:basedOn w:val="a0"/>
    <w:link w:val="Hyper4"/>
    <w:rPr>
      <w:rFonts w:ascii="Menlo" w:eastAsia="宋体" w:hAnsi="Menlo" w:cs="Menlo"/>
      <w:szCs w:val="24"/>
    </w:rPr>
  </w:style>
  <w:style w:type="character" w:customStyle="1" w:styleId="Hyper2">
    <w:name w:val="Hyper二级节标题 字符"/>
    <w:basedOn w:val="2Char"/>
    <w:link w:val="Hyper0"/>
    <w:qFormat/>
    <w:rPr>
      <w:rFonts w:ascii="Times New Roman" w:eastAsia="黑体" w:hAnsi="Times New Roman" w:cstheme="majorBidi"/>
      <w:b/>
      <w:bCs/>
      <w:color w:val="000000" w:themeColor="text1"/>
      <w:sz w:val="30"/>
      <w:szCs w:val="32"/>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Hyper6">
    <w:name w:val="Hyper三级节标题"/>
    <w:basedOn w:val="3"/>
    <w:next w:val="a"/>
    <w:qFormat/>
    <w:rPr>
      <w:rFonts w:ascii="Times New Roman" w:eastAsia="黑体" w:hAnsi="Times New Roman" w:cstheme="majorBidi"/>
      <w:bCs w:val="0"/>
      <w:color w:val="000000" w:themeColor="text1"/>
      <w:sz w:val="28"/>
    </w:rPr>
  </w:style>
  <w:style w:type="character" w:customStyle="1" w:styleId="3Char">
    <w:name w:val="标题 3 Char"/>
    <w:basedOn w:val="a0"/>
    <w:link w:val="3"/>
    <w:uiPriority w:val="9"/>
    <w:semiHidden/>
    <w:qFormat/>
    <w:rPr>
      <w:b/>
      <w:bCs/>
      <w:sz w:val="32"/>
      <w:szCs w:val="32"/>
    </w:rPr>
  </w:style>
  <w:style w:type="paragraph" w:customStyle="1" w:styleId="Hyper">
    <w:name w:val="Hyper三级标题"/>
    <w:basedOn w:val="Hyper6"/>
    <w:next w:val="a"/>
    <w:link w:val="Hyper7"/>
    <w:qFormat/>
    <w:pPr>
      <w:numPr>
        <w:numId w:val="1"/>
      </w:numPr>
      <w:spacing w:before="120" w:after="0" w:line="360" w:lineRule="auto"/>
      <w:jc w:val="left"/>
    </w:pPr>
  </w:style>
  <w:style w:type="character" w:customStyle="1" w:styleId="Hyper7">
    <w:name w:val="Hyper三级标题 字符"/>
    <w:basedOn w:val="3Char"/>
    <w:link w:val="Hyper"/>
    <w:qFormat/>
    <w:rPr>
      <w:rFonts w:ascii="Times New Roman" w:eastAsia="黑体" w:hAnsi="Times New Roman" w:cstheme="majorBidi"/>
      <w:b/>
      <w:bCs w:val="0"/>
      <w:color w:val="000000" w:themeColor="text1"/>
      <w:sz w:val="28"/>
      <w:szCs w:val="32"/>
    </w:rPr>
  </w:style>
  <w:style w:type="paragraph" w:customStyle="1" w:styleId="Hyper1">
    <w:name w:val="Hyper四级节标题"/>
    <w:basedOn w:val="4"/>
    <w:next w:val="a"/>
    <w:link w:val="Hyper8"/>
    <w:qFormat/>
    <w:pPr>
      <w:keepNext w:val="0"/>
      <w:numPr>
        <w:ilvl w:val="3"/>
        <w:numId w:val="1"/>
      </w:numPr>
      <w:spacing w:before="0" w:after="0" w:line="360" w:lineRule="auto"/>
    </w:pPr>
    <w:rPr>
      <w:rFonts w:ascii="Times New Roman" w:eastAsia="黑体" w:hAnsi="Times New Roman"/>
      <w:color w:val="000000" w:themeColor="text1"/>
      <w:sz w:val="24"/>
    </w:rPr>
  </w:style>
  <w:style w:type="character" w:customStyle="1" w:styleId="Hyper8">
    <w:name w:val="Hyper四级节标题 字符"/>
    <w:basedOn w:val="4Char"/>
    <w:link w:val="Hyper1"/>
    <w:qFormat/>
    <w:rPr>
      <w:rFonts w:ascii="Times New Roman" w:eastAsia="黑体" w:hAnsi="Times New Roman" w:cstheme="majorBidi"/>
      <w:b/>
      <w:bCs/>
      <w:color w:val="000000" w:themeColor="text1"/>
      <w:sz w:val="24"/>
      <w:szCs w:val="28"/>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1Char">
    <w:name w:val="标题 1 Char"/>
    <w:basedOn w:val="a0"/>
    <w:link w:val="1"/>
    <w:qFormat/>
    <w:rPr>
      <w:rFonts w:ascii="Times New Roman" w:eastAsia="黑体" w:hAnsi="Times New Roman"/>
      <w:b/>
      <w:bCs/>
      <w:kern w:val="44"/>
      <w:sz w:val="32"/>
      <w:szCs w:val="44"/>
    </w:rPr>
  </w:style>
  <w:style w:type="paragraph" w:customStyle="1" w:styleId="Hyper9">
    <w:name w:val="Hyper一级章标题"/>
    <w:basedOn w:val="1"/>
    <w:next w:val="Hyper0"/>
    <w:link w:val="Hypera"/>
    <w:qFormat/>
    <w:pPr>
      <w:snapToGrid w:val="0"/>
      <w:spacing w:before="468" w:after="468"/>
    </w:pPr>
    <w:rPr>
      <w:rFonts w:cs="Times New Roman"/>
      <w:bCs w:val="0"/>
      <w:color w:val="000000" w:themeColor="text1"/>
      <w:szCs w:val="24"/>
    </w:rPr>
  </w:style>
  <w:style w:type="character" w:customStyle="1" w:styleId="Hypera">
    <w:name w:val="Hyper一级章标题 字符"/>
    <w:basedOn w:val="a0"/>
    <w:link w:val="Hyper9"/>
    <w:qFormat/>
    <w:rPr>
      <w:rFonts w:ascii="Times New Roman" w:eastAsia="黑体" w:hAnsi="Times New Roman" w:cs="Times New Roman"/>
      <w:b/>
      <w:color w:val="000000" w:themeColor="text1"/>
      <w:kern w:val="44"/>
      <w:sz w:val="32"/>
      <w:szCs w:val="24"/>
    </w:rPr>
  </w:style>
  <w:style w:type="paragraph" w:customStyle="1" w:styleId="Hyperb">
    <w:name w:val="Hyper正文"/>
    <w:basedOn w:val="a"/>
    <w:link w:val="Hyperc"/>
    <w:qFormat/>
    <w:pPr>
      <w:spacing w:line="360" w:lineRule="auto"/>
      <w:ind w:firstLineChars="200" w:firstLine="480"/>
    </w:pPr>
    <w:rPr>
      <w:rFonts w:ascii="Times New Roman" w:eastAsia="宋体" w:hAnsi="Times New Roman" w:cs="Times New Roman"/>
      <w:sz w:val="24"/>
    </w:rPr>
  </w:style>
  <w:style w:type="character" w:customStyle="1" w:styleId="Hyperc">
    <w:name w:val="Hyper正文 字符"/>
    <w:basedOn w:val="a0"/>
    <w:link w:val="Hyperb"/>
    <w:qFormat/>
    <w:rPr>
      <w:rFonts w:ascii="Times New Roman" w:eastAsia="宋体" w:hAnsi="Times New Roman" w:cs="Times New Roman"/>
      <w:sz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Hyper0"/>
    <w:link w:val="1Char"/>
    <w:qFormat/>
    <w:pPr>
      <w:keepNext/>
      <w:keepLines/>
      <w:pageBreakBefore/>
      <w:spacing w:beforeLines="150" w:before="150" w:afterLines="150" w:after="150" w:line="360" w:lineRule="auto"/>
      <w:jc w:val="center"/>
      <w:outlineLvl w:val="0"/>
    </w:pPr>
    <w:rPr>
      <w:rFonts w:ascii="Times New Roman" w:eastAsia="黑体" w:hAnsi="Times New Roman"/>
      <w:b/>
      <w:bCs/>
      <w:kern w:val="44"/>
      <w:sz w:val="32"/>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yper0">
    <w:name w:val="Hyper二级节标题"/>
    <w:basedOn w:val="2"/>
    <w:next w:val="a"/>
    <w:link w:val="Hyper2"/>
    <w:qFormat/>
    <w:pPr>
      <w:numPr>
        <w:ilvl w:val="1"/>
        <w:numId w:val="1"/>
      </w:numPr>
      <w:spacing w:before="120" w:after="120" w:line="360" w:lineRule="auto"/>
    </w:pPr>
    <w:rPr>
      <w:rFonts w:ascii="Times New Roman" w:eastAsia="黑体" w:hAnsi="Times New Roman"/>
      <w:color w:val="000000" w:themeColor="text1"/>
      <w:sz w:val="30"/>
    </w:rPr>
  </w:style>
  <w:style w:type="paragraph" w:styleId="30">
    <w:name w:val="toc 3"/>
    <w:basedOn w:val="a"/>
    <w:next w:val="a"/>
    <w:uiPriority w:val="39"/>
    <w:unhideWhenUsed/>
    <w:qFormat/>
    <w:pPr>
      <w:widowControl/>
      <w:spacing w:after="100" w:line="259" w:lineRule="auto"/>
      <w:ind w:left="440"/>
      <w:jc w:val="left"/>
    </w:pPr>
    <w:rPr>
      <w:rFonts w:ascii="Times New Roman" w:hAnsi="Times New Roman" w:cs="Times New Roman"/>
      <w:kern w:val="0"/>
      <w:sz w:val="22"/>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left" w:pos="1050"/>
        <w:tab w:val="right" w:leader="dot" w:pos="8296"/>
      </w:tabs>
      <w:snapToGrid w:val="0"/>
      <w:spacing w:after="100" w:line="259" w:lineRule="auto"/>
      <w:jc w:val="left"/>
    </w:pPr>
    <w:rPr>
      <w:rFonts w:ascii="Times New Roman" w:hAnsi="Times New Roman" w:cs="Times New Roman"/>
      <w:b/>
      <w:kern w:val="0"/>
      <w:sz w:val="24"/>
    </w:rPr>
  </w:style>
  <w:style w:type="paragraph" w:styleId="40">
    <w:name w:val="toc 4"/>
    <w:basedOn w:val="a"/>
    <w:next w:val="a"/>
    <w:uiPriority w:val="39"/>
    <w:semiHidden/>
    <w:unhideWhenUsed/>
    <w:qFormat/>
    <w:pPr>
      <w:ind w:leftChars="600" w:left="1260"/>
    </w:pPr>
    <w:rPr>
      <w:rFonts w:ascii="Times New Roman" w:hAnsi="Times New Roman"/>
    </w:rPr>
  </w:style>
  <w:style w:type="paragraph" w:styleId="20">
    <w:name w:val="toc 2"/>
    <w:basedOn w:val="a"/>
    <w:next w:val="a"/>
    <w:uiPriority w:val="39"/>
    <w:unhideWhenUsed/>
    <w:qFormat/>
    <w:pPr>
      <w:widowControl/>
      <w:spacing w:after="100" w:line="259" w:lineRule="auto"/>
      <w:ind w:left="220"/>
      <w:jc w:val="left"/>
    </w:pPr>
    <w:rPr>
      <w:rFonts w:ascii="Times New Roman" w:hAnsi="Times New Roman" w:cs="Times New Roman"/>
      <w:kern w:val="0"/>
      <w:sz w:val="22"/>
    </w:rPr>
  </w:style>
  <w:style w:type="table" w:styleId="a5">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yper3">
    <w:name w:val="Hyper表格样式"/>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0" w:beforeAutospacing="0" w:afterLines="0" w:after="0" w:afterAutospacing="0" w:line="240" w:lineRule="auto"/>
        <w:ind w:leftChars="0" w:left="0" w:rightChars="0" w:right="0" w:firstLineChars="0" w:firstLine="0"/>
        <w:jc w:val="center"/>
        <w:textAlignment w:val="center"/>
        <w:outlineLvl w:val="9"/>
      </w:pPr>
      <w:rPr>
        <w:rFonts w:ascii="Times New Roman" w:eastAsia="宋体" w:hAnsi="Times New Roman"/>
        <w:b/>
        <w:i w:val="0"/>
        <w:color w:val="FFFFFF" w:themeColor="background1"/>
        <w:sz w:val="21"/>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2F5496" w:themeFill="accent1" w:themeFillShade="BF"/>
      </w:tcPr>
    </w:tblStylePr>
  </w:style>
  <w:style w:type="paragraph" w:customStyle="1" w:styleId="Hyper4">
    <w:name w:val="Hyper代码"/>
    <w:basedOn w:val="a"/>
    <w:link w:val="Hyper5"/>
    <w:qFormat/>
    <w:pPr>
      <w:jc w:val="left"/>
    </w:pPr>
    <w:rPr>
      <w:rFonts w:ascii="Menlo" w:eastAsia="宋体" w:hAnsi="Menlo" w:cs="Menlo"/>
      <w:szCs w:val="24"/>
    </w:rPr>
  </w:style>
  <w:style w:type="character" w:customStyle="1" w:styleId="Hyper5">
    <w:name w:val="Hyper代码 字符"/>
    <w:basedOn w:val="a0"/>
    <w:link w:val="Hyper4"/>
    <w:rPr>
      <w:rFonts w:ascii="Menlo" w:eastAsia="宋体" w:hAnsi="Menlo" w:cs="Menlo"/>
      <w:szCs w:val="24"/>
    </w:rPr>
  </w:style>
  <w:style w:type="character" w:customStyle="1" w:styleId="Hyper2">
    <w:name w:val="Hyper二级节标题 字符"/>
    <w:basedOn w:val="2Char"/>
    <w:link w:val="Hyper0"/>
    <w:qFormat/>
    <w:rPr>
      <w:rFonts w:ascii="Times New Roman" w:eastAsia="黑体" w:hAnsi="Times New Roman" w:cstheme="majorBidi"/>
      <w:b/>
      <w:bCs/>
      <w:color w:val="000000" w:themeColor="text1"/>
      <w:sz w:val="30"/>
      <w:szCs w:val="32"/>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Hyper6">
    <w:name w:val="Hyper三级节标题"/>
    <w:basedOn w:val="3"/>
    <w:next w:val="a"/>
    <w:qFormat/>
    <w:rPr>
      <w:rFonts w:ascii="Times New Roman" w:eastAsia="黑体" w:hAnsi="Times New Roman" w:cstheme="majorBidi"/>
      <w:bCs w:val="0"/>
      <w:color w:val="000000" w:themeColor="text1"/>
      <w:sz w:val="28"/>
    </w:rPr>
  </w:style>
  <w:style w:type="character" w:customStyle="1" w:styleId="3Char">
    <w:name w:val="标题 3 Char"/>
    <w:basedOn w:val="a0"/>
    <w:link w:val="3"/>
    <w:uiPriority w:val="9"/>
    <w:semiHidden/>
    <w:qFormat/>
    <w:rPr>
      <w:b/>
      <w:bCs/>
      <w:sz w:val="32"/>
      <w:szCs w:val="32"/>
    </w:rPr>
  </w:style>
  <w:style w:type="paragraph" w:customStyle="1" w:styleId="Hyper">
    <w:name w:val="Hyper三级标题"/>
    <w:basedOn w:val="Hyper6"/>
    <w:next w:val="a"/>
    <w:link w:val="Hyper7"/>
    <w:qFormat/>
    <w:pPr>
      <w:numPr>
        <w:numId w:val="1"/>
      </w:numPr>
      <w:spacing w:before="120" w:after="0" w:line="360" w:lineRule="auto"/>
      <w:jc w:val="left"/>
    </w:pPr>
  </w:style>
  <w:style w:type="character" w:customStyle="1" w:styleId="Hyper7">
    <w:name w:val="Hyper三级标题 字符"/>
    <w:basedOn w:val="3Char"/>
    <w:link w:val="Hyper"/>
    <w:qFormat/>
    <w:rPr>
      <w:rFonts w:ascii="Times New Roman" w:eastAsia="黑体" w:hAnsi="Times New Roman" w:cstheme="majorBidi"/>
      <w:b/>
      <w:bCs w:val="0"/>
      <w:color w:val="000000" w:themeColor="text1"/>
      <w:sz w:val="28"/>
      <w:szCs w:val="32"/>
    </w:rPr>
  </w:style>
  <w:style w:type="paragraph" w:customStyle="1" w:styleId="Hyper1">
    <w:name w:val="Hyper四级节标题"/>
    <w:basedOn w:val="4"/>
    <w:next w:val="a"/>
    <w:link w:val="Hyper8"/>
    <w:qFormat/>
    <w:pPr>
      <w:keepNext w:val="0"/>
      <w:numPr>
        <w:ilvl w:val="3"/>
        <w:numId w:val="1"/>
      </w:numPr>
      <w:spacing w:before="0" w:after="0" w:line="360" w:lineRule="auto"/>
    </w:pPr>
    <w:rPr>
      <w:rFonts w:ascii="Times New Roman" w:eastAsia="黑体" w:hAnsi="Times New Roman"/>
      <w:color w:val="000000" w:themeColor="text1"/>
      <w:sz w:val="24"/>
    </w:rPr>
  </w:style>
  <w:style w:type="character" w:customStyle="1" w:styleId="Hyper8">
    <w:name w:val="Hyper四级节标题 字符"/>
    <w:basedOn w:val="4Char"/>
    <w:link w:val="Hyper1"/>
    <w:qFormat/>
    <w:rPr>
      <w:rFonts w:ascii="Times New Roman" w:eastAsia="黑体" w:hAnsi="Times New Roman" w:cstheme="majorBidi"/>
      <w:b/>
      <w:bCs/>
      <w:color w:val="000000" w:themeColor="text1"/>
      <w:sz w:val="24"/>
      <w:szCs w:val="28"/>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1Char">
    <w:name w:val="标题 1 Char"/>
    <w:basedOn w:val="a0"/>
    <w:link w:val="1"/>
    <w:qFormat/>
    <w:rPr>
      <w:rFonts w:ascii="Times New Roman" w:eastAsia="黑体" w:hAnsi="Times New Roman"/>
      <w:b/>
      <w:bCs/>
      <w:kern w:val="44"/>
      <w:sz w:val="32"/>
      <w:szCs w:val="44"/>
    </w:rPr>
  </w:style>
  <w:style w:type="paragraph" w:customStyle="1" w:styleId="Hyper9">
    <w:name w:val="Hyper一级章标题"/>
    <w:basedOn w:val="1"/>
    <w:next w:val="Hyper0"/>
    <w:link w:val="Hypera"/>
    <w:qFormat/>
    <w:pPr>
      <w:snapToGrid w:val="0"/>
      <w:spacing w:before="468" w:after="468"/>
    </w:pPr>
    <w:rPr>
      <w:rFonts w:cs="Times New Roman"/>
      <w:bCs w:val="0"/>
      <w:color w:val="000000" w:themeColor="text1"/>
      <w:szCs w:val="24"/>
    </w:rPr>
  </w:style>
  <w:style w:type="character" w:customStyle="1" w:styleId="Hypera">
    <w:name w:val="Hyper一级章标题 字符"/>
    <w:basedOn w:val="a0"/>
    <w:link w:val="Hyper9"/>
    <w:qFormat/>
    <w:rPr>
      <w:rFonts w:ascii="Times New Roman" w:eastAsia="黑体" w:hAnsi="Times New Roman" w:cs="Times New Roman"/>
      <w:b/>
      <w:color w:val="000000" w:themeColor="text1"/>
      <w:kern w:val="44"/>
      <w:sz w:val="32"/>
      <w:szCs w:val="24"/>
    </w:rPr>
  </w:style>
  <w:style w:type="paragraph" w:customStyle="1" w:styleId="Hyperb">
    <w:name w:val="Hyper正文"/>
    <w:basedOn w:val="a"/>
    <w:link w:val="Hyperc"/>
    <w:qFormat/>
    <w:pPr>
      <w:spacing w:line="360" w:lineRule="auto"/>
      <w:ind w:firstLineChars="200" w:firstLine="480"/>
    </w:pPr>
    <w:rPr>
      <w:rFonts w:ascii="Times New Roman" w:eastAsia="宋体" w:hAnsi="Times New Roman" w:cs="Times New Roman"/>
      <w:sz w:val="24"/>
    </w:rPr>
  </w:style>
  <w:style w:type="character" w:customStyle="1" w:styleId="Hyperc">
    <w:name w:val="Hyper正文 字符"/>
    <w:basedOn w:val="a0"/>
    <w:link w:val="Hyperb"/>
    <w:qFormat/>
    <w:rPr>
      <w:rFonts w:ascii="Times New Roman" w:eastAsia="宋体" w:hAnsi="Times New Roman" w:cs="Times New Roman"/>
      <w:sz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 liu</dc:creator>
  <cp:lastModifiedBy>wl</cp:lastModifiedBy>
  <cp:revision>151</cp:revision>
  <dcterms:created xsi:type="dcterms:W3CDTF">2023-05-29T03:36:00Z</dcterms:created>
  <dcterms:modified xsi:type="dcterms:W3CDTF">2023-09-11T02:01:00Z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B3D7E226A95C4AF881023DF3DD35452A_13</vt:lpwstr>
  </property>
</Properties>
</file>