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4201" w14:textId="77777777" w:rsidR="0049316F" w:rsidRDefault="0049316F" w:rsidP="0049316F"/>
    <w:p w14:paraId="356291BD" w14:textId="31A34631" w:rsidR="003D6CF4" w:rsidRPr="00DC5E38" w:rsidRDefault="00835D57" w:rsidP="00835D57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白血病免疫</w:t>
      </w:r>
      <w:r w:rsidR="00C15998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>分型</w:t>
      </w:r>
      <w:r w:rsidR="003B0073">
        <w:rPr>
          <w:rFonts w:hint="eastAsia"/>
          <w:b/>
          <w:sz w:val="32"/>
          <w:szCs w:val="32"/>
        </w:rPr>
        <w:t>等</w:t>
      </w:r>
      <w:r>
        <w:rPr>
          <w:rFonts w:hint="eastAsia"/>
          <w:b/>
          <w:sz w:val="32"/>
          <w:szCs w:val="32"/>
        </w:rPr>
        <w:t>检测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2127"/>
        <w:gridCol w:w="4869"/>
      </w:tblGrid>
      <w:tr w:rsidR="0077258D" w:rsidRPr="00C0607E" w14:paraId="56731BEB" w14:textId="77777777" w:rsidTr="003B0073">
        <w:trPr>
          <w:trHeight w:val="841"/>
          <w:jc w:val="center"/>
        </w:trPr>
        <w:tc>
          <w:tcPr>
            <w:tcW w:w="895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8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3B0073" w:rsidRPr="00366D6B" w14:paraId="076F39ED" w14:textId="77777777" w:rsidTr="003B0073">
        <w:trPr>
          <w:trHeight w:val="5253"/>
          <w:jc w:val="center"/>
        </w:trPr>
        <w:tc>
          <w:tcPr>
            <w:tcW w:w="895" w:type="pct"/>
            <w:vMerge w:val="restart"/>
            <w:vAlign w:val="center"/>
          </w:tcPr>
          <w:p w14:paraId="1902F44B" w14:textId="4DCDC459" w:rsidR="003B0073" w:rsidRPr="00243E5A" w:rsidRDefault="003B0073" w:rsidP="0026685C">
            <w:pPr>
              <w:jc w:val="center"/>
              <w:rPr>
                <w:sz w:val="18"/>
                <w:szCs w:val="18"/>
              </w:rPr>
            </w:pPr>
            <w:r w:rsidRPr="003B0073">
              <w:rPr>
                <w:rFonts w:hint="eastAsia"/>
                <w:sz w:val="18"/>
                <w:szCs w:val="18"/>
              </w:rPr>
              <w:t>白血病免疫分型</w:t>
            </w:r>
            <w:r w:rsidR="00B328E3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检测项目</w:t>
            </w:r>
          </w:p>
        </w:tc>
        <w:tc>
          <w:tcPr>
            <w:tcW w:w="1248" w:type="pct"/>
            <w:vAlign w:val="center"/>
          </w:tcPr>
          <w:p w14:paraId="41456E43" w14:textId="2DFB43E1" w:rsidR="003B0073" w:rsidRDefault="003B0073" w:rsidP="003B0073">
            <w:pPr>
              <w:jc w:val="center"/>
              <w:rPr>
                <w:sz w:val="18"/>
                <w:szCs w:val="18"/>
              </w:rPr>
            </w:pPr>
            <w:r w:rsidRPr="003B0073">
              <w:rPr>
                <w:rFonts w:hint="eastAsia"/>
                <w:sz w:val="18"/>
                <w:szCs w:val="18"/>
              </w:rPr>
              <w:t>白血病免疫</w:t>
            </w:r>
            <w:r>
              <w:rPr>
                <w:rFonts w:hint="eastAsia"/>
                <w:sz w:val="18"/>
                <w:szCs w:val="18"/>
              </w:rPr>
              <w:t>学诊断项目</w:t>
            </w:r>
            <w:r w:rsidR="0074382C">
              <w:rPr>
                <w:rFonts w:hint="eastAsia"/>
                <w:sz w:val="18"/>
                <w:szCs w:val="18"/>
              </w:rPr>
              <w:t>、</w:t>
            </w:r>
          </w:p>
          <w:p w14:paraId="1AF1D5EF" w14:textId="05ABFF5E" w:rsidR="003B0073" w:rsidRPr="00243E5A" w:rsidRDefault="003B0073" w:rsidP="003B00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淋巴瘤免疫学诊断项目</w:t>
            </w:r>
          </w:p>
        </w:tc>
        <w:tc>
          <w:tcPr>
            <w:tcW w:w="2857" w:type="pct"/>
            <w:vMerge w:val="restart"/>
            <w:vAlign w:val="center"/>
          </w:tcPr>
          <w:p w14:paraId="44507DFA" w14:textId="3E2D9125" w:rsidR="003B0073" w:rsidRPr="00243E5A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检测方法：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多色</w:t>
            </w:r>
            <w:r>
              <w:rPr>
                <w:rFonts w:ascii="宋体" w:hAnsi="宋体" w:hint="eastAsia"/>
                <w:sz w:val="20"/>
                <w:szCs w:val="21"/>
              </w:rPr>
              <w:t>流式细胞术</w:t>
            </w:r>
          </w:p>
          <w:p w14:paraId="3E6C3D13" w14:textId="12045405" w:rsidR="003B0073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适用范围：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血液肿瘤性疾病的免疫学诊断。</w:t>
            </w:r>
            <w:r w:rsidR="00C33C43">
              <w:rPr>
                <w:rFonts w:ascii="宋体" w:hAnsi="宋体"/>
                <w:sz w:val="20"/>
                <w:szCs w:val="21"/>
              </w:rPr>
              <w:t xml:space="preserve"> </w:t>
            </w:r>
          </w:p>
          <w:p w14:paraId="39E46A8D" w14:textId="4B180AFF" w:rsidR="003B0073" w:rsidRPr="00F163D5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F163D5">
              <w:rPr>
                <w:rFonts w:ascii="宋体" w:hAnsi="宋体" w:hint="eastAsia"/>
                <w:sz w:val="20"/>
                <w:szCs w:val="21"/>
              </w:rPr>
              <w:t>检测范围：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检测血液肿瘤细胞膜、细胞浆及细胞核内多种分化抗原（</w:t>
            </w:r>
            <w:r w:rsidR="00C33C43">
              <w:rPr>
                <w:rFonts w:ascii="宋体" w:hAnsi="宋体"/>
                <w:sz w:val="20"/>
                <w:szCs w:val="21"/>
              </w:rPr>
              <w:t>CD</w:t>
            </w:r>
            <w:r w:rsidR="00C33C43">
              <w:rPr>
                <w:rFonts w:ascii="宋体" w:hAnsi="宋体" w:hint="eastAsia"/>
                <w:sz w:val="20"/>
                <w:szCs w:val="21"/>
              </w:rPr>
              <w:t>）分子的表达情况，并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根据</w:t>
            </w:r>
            <w:r w:rsidR="00C33C43">
              <w:rPr>
                <w:rFonts w:ascii="宋体" w:hAnsi="宋体" w:hint="eastAsia"/>
                <w:sz w:val="20"/>
                <w:szCs w:val="21"/>
              </w:rPr>
              <w:t>所检测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抗原</w:t>
            </w:r>
            <w:r w:rsidR="00C33C43">
              <w:rPr>
                <w:rFonts w:ascii="宋体" w:hAnsi="宋体" w:hint="eastAsia"/>
                <w:sz w:val="20"/>
                <w:szCs w:val="21"/>
              </w:rPr>
              <w:t>分子的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表达情况对</w:t>
            </w:r>
            <w:r w:rsidR="00C33C43">
              <w:rPr>
                <w:rFonts w:ascii="宋体" w:hAnsi="宋体" w:hint="eastAsia"/>
                <w:sz w:val="20"/>
                <w:szCs w:val="21"/>
              </w:rPr>
              <w:t>血液肿瘤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细胞</w:t>
            </w:r>
            <w:r w:rsidR="00C33C43">
              <w:rPr>
                <w:rFonts w:ascii="宋体" w:hAnsi="宋体" w:hint="eastAsia"/>
                <w:sz w:val="20"/>
                <w:szCs w:val="21"/>
              </w:rPr>
              <w:t>的系别来源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和成熟阶段</w:t>
            </w:r>
            <w:r w:rsidR="00C33C43">
              <w:rPr>
                <w:rFonts w:ascii="宋体" w:hAnsi="宋体" w:hint="eastAsia"/>
                <w:sz w:val="20"/>
                <w:szCs w:val="21"/>
              </w:rPr>
              <w:t>进行综合分析判断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，从而</w:t>
            </w:r>
            <w:proofErr w:type="gramStart"/>
            <w:r w:rsidR="00C33C43" w:rsidRPr="00377C89">
              <w:rPr>
                <w:rFonts w:ascii="宋体" w:hAnsi="宋体" w:hint="eastAsia"/>
                <w:sz w:val="20"/>
                <w:szCs w:val="21"/>
              </w:rPr>
              <w:t>作出</w:t>
            </w:r>
            <w:proofErr w:type="gramEnd"/>
            <w:r w:rsidR="00C33C43">
              <w:rPr>
                <w:rFonts w:ascii="宋体" w:hAnsi="宋体" w:hint="eastAsia"/>
                <w:sz w:val="20"/>
                <w:szCs w:val="21"/>
              </w:rPr>
              <w:t>所检标本的参考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诊断</w:t>
            </w:r>
            <w:r w:rsidR="00C33C43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0AD881DC" w14:textId="09BDAD48" w:rsidR="003B0073" w:rsidRPr="0001345A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01345A">
              <w:rPr>
                <w:rFonts w:ascii="宋体" w:hAnsi="宋体" w:cs="宋体" w:hint="eastAsia"/>
                <w:kern w:val="0"/>
                <w:sz w:val="20"/>
                <w:szCs w:val="21"/>
              </w:rPr>
              <w:t>检测要求：</w:t>
            </w:r>
          </w:p>
          <w:p w14:paraId="2EFA9835" w14:textId="108CDF31" w:rsidR="003B0073" w:rsidRDefault="003B0073" w:rsidP="00B328E3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规格要求：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具有临床应用注册证并适用于</w:t>
            </w:r>
            <w:r w:rsidR="00366D6B">
              <w:rPr>
                <w:rFonts w:ascii="宋体" w:hAnsi="宋体" w:hint="eastAsia"/>
                <w:sz w:val="20"/>
                <w:szCs w:val="21"/>
              </w:rPr>
              <w:t>多色流式细胞术分析</w:t>
            </w:r>
            <w:r w:rsidR="00C33C43">
              <w:rPr>
                <w:rFonts w:ascii="宋体" w:hAnsi="宋体" w:hint="eastAsia"/>
                <w:sz w:val="20"/>
                <w:szCs w:val="21"/>
              </w:rPr>
              <w:t>的多色荧光直接标记的抗人抗体</w:t>
            </w:r>
            <w:r w:rsidR="00366D6B">
              <w:rPr>
                <w:rFonts w:ascii="宋体" w:hAnsi="宋体" w:hint="eastAsia"/>
                <w:sz w:val="20"/>
                <w:szCs w:val="21"/>
              </w:rPr>
              <w:t>（具体试剂名称见附件）。</w:t>
            </w:r>
          </w:p>
          <w:p w14:paraId="42B9C27C" w14:textId="5BAF4A83" w:rsidR="003B0073" w:rsidRPr="00000165" w:rsidRDefault="003B0073" w:rsidP="00000165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其他要求：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提供配套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流式细胞仪的液流</w:t>
            </w:r>
            <w:r w:rsidR="00EA2AD7">
              <w:rPr>
                <w:rFonts w:ascii="宋体" w:hAnsi="宋体" w:cs="宋体" w:hint="eastAsia"/>
                <w:kern w:val="0"/>
                <w:sz w:val="20"/>
                <w:szCs w:val="21"/>
              </w:rPr>
              <w:t>系统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材料、流式</w:t>
            </w:r>
            <w:r w:rsidRPr="003C53C4">
              <w:rPr>
                <w:rFonts w:asciiTheme="minorEastAsia" w:hAnsiTheme="minorEastAsia" w:hint="eastAsia"/>
                <w:sz w:val="20"/>
                <w:szCs w:val="21"/>
              </w:rPr>
              <w:t>管等相关耗材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0E3536D0" w14:textId="2AD4EFE7" w:rsidR="00000165" w:rsidRPr="0001345A" w:rsidRDefault="00000165" w:rsidP="00B328E3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与在用流式细胞仪（</w:t>
            </w:r>
            <w:r>
              <w:rPr>
                <w:rFonts w:hint="eastAsia"/>
                <w:sz w:val="20"/>
                <w:szCs w:val="20"/>
              </w:rPr>
              <w:t>FACS Canto</w:t>
            </w:r>
            <w:r>
              <w:rPr>
                <w:rFonts w:hint="eastAsia"/>
                <w:sz w:val="20"/>
                <w:szCs w:val="20"/>
              </w:rPr>
              <w:t>Ⅱ）适配，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或可提供其他设备解决方案。</w:t>
            </w:r>
          </w:p>
          <w:p w14:paraId="0AE0E436" w14:textId="581D3347" w:rsidR="003B0073" w:rsidRPr="003C53C4" w:rsidRDefault="003B0073" w:rsidP="00C15998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、 售后服务要求：</w:t>
            </w:r>
          </w:p>
          <w:p w14:paraId="709F9EDE" w14:textId="74722207" w:rsidR="003B0073" w:rsidRDefault="00366D6B" w:rsidP="00C15998">
            <w:pPr>
              <w:adjustRightInd w:val="0"/>
              <w:snapToGrid w:val="0"/>
              <w:spacing w:after="240" w:line="276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具有较强的售后服务保障团队，能定期提供操作培训，及时协助疑难结果判读，对临床疑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难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病例能根据临床医生要求及时采用其他方法如</w:t>
            </w:r>
            <w:r w:rsidR="003B0073">
              <w:rPr>
                <w:rFonts w:ascii="宋体" w:hAnsi="宋体" w:cs="宋体" w:hint="eastAsia"/>
                <w:kern w:val="0"/>
                <w:sz w:val="20"/>
                <w:szCs w:val="21"/>
              </w:rPr>
              <w:t>白血病融合基因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测序等协助验证结果，对</w:t>
            </w:r>
            <w:r w:rsidR="00EA2AD7">
              <w:rPr>
                <w:rFonts w:ascii="宋体" w:hAnsi="宋体" w:cs="宋体" w:hint="eastAsia"/>
                <w:kern w:val="0"/>
                <w:sz w:val="20"/>
                <w:szCs w:val="21"/>
              </w:rPr>
              <w:t>血液肿瘤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疑难或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罕见</w:t>
            </w:r>
            <w:r w:rsidR="003B0073">
              <w:rPr>
                <w:rFonts w:ascii="宋体" w:hAnsi="宋体" w:cs="宋体" w:hint="eastAsia"/>
                <w:kern w:val="0"/>
                <w:sz w:val="20"/>
                <w:szCs w:val="21"/>
              </w:rPr>
              <w:t>病例有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识别能力。</w:t>
            </w:r>
          </w:p>
          <w:p w14:paraId="0ACE10A9" w14:textId="77777777" w:rsidR="003B0073" w:rsidRDefault="00366D6B" w:rsidP="00366D6B">
            <w:pPr>
              <w:adjustRightInd w:val="0"/>
              <w:snapToGrid w:val="0"/>
              <w:spacing w:after="240" w:line="276" w:lineRule="auto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（2）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具有完善的销售供应保障体系，供应商须有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24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小时内加急供货的应急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响应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能力。</w:t>
            </w:r>
          </w:p>
          <w:p w14:paraId="609F4FF8" w14:textId="6FC9C7B8" w:rsidR="00E5580F" w:rsidRPr="00641704" w:rsidRDefault="00E5580F" w:rsidP="00366D6B">
            <w:pPr>
              <w:adjustRightInd w:val="0"/>
              <w:snapToGrid w:val="0"/>
              <w:spacing w:after="240" w:line="276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6、试剂清单详见附件</w:t>
            </w:r>
            <w:r w:rsidR="0034678E">
              <w:rPr>
                <w:rFonts w:ascii="宋体" w:hAnsi="宋体" w:cs="宋体"/>
                <w:kern w:val="0"/>
                <w:sz w:val="20"/>
                <w:szCs w:val="21"/>
              </w:rPr>
              <w:object w:dxaOrig="1539" w:dyaOrig="967" w14:anchorId="71C307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8.5pt" o:ole="">
                  <v:imagedata r:id="rId8" o:title=""/>
                </v:shape>
                <o:OLEObject Type="Link" ProgID="Excel.Sheet.12" ShapeID="_x0000_i1025" DrawAspect="Icon" r:id="rId9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bookmarkStart w:id="0" w:name="_GoBack"/>
            <w:bookmarkEnd w:id="0"/>
          </w:p>
        </w:tc>
      </w:tr>
      <w:tr w:rsidR="003B0073" w:rsidRPr="00C0607E" w14:paraId="22C7F9DA" w14:textId="77777777" w:rsidTr="003B0073">
        <w:trPr>
          <w:trHeight w:val="3860"/>
          <w:jc w:val="center"/>
        </w:trPr>
        <w:tc>
          <w:tcPr>
            <w:tcW w:w="895" w:type="pct"/>
            <w:vMerge/>
            <w:vAlign w:val="center"/>
          </w:tcPr>
          <w:p w14:paraId="671C0015" w14:textId="77777777" w:rsidR="003B0073" w:rsidRDefault="003B0073" w:rsidP="003B0073"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  <w:vAlign w:val="center"/>
          </w:tcPr>
          <w:p w14:paraId="383C1D5D" w14:textId="0DBD84C6" w:rsidR="003B0073" w:rsidRDefault="003B0073" w:rsidP="003B00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白血病微小残留检测</w:t>
            </w:r>
            <w:r w:rsidR="00C6482E">
              <w:rPr>
                <w:rFonts w:hint="eastAsia"/>
                <w:szCs w:val="21"/>
              </w:rPr>
              <w:t>、</w:t>
            </w:r>
            <w:r w:rsidR="00481C8D">
              <w:rPr>
                <w:rFonts w:hint="eastAsia"/>
                <w:szCs w:val="21"/>
              </w:rPr>
              <w:t>8</w:t>
            </w:r>
            <w:r w:rsidR="00481C8D">
              <w:rPr>
                <w:rFonts w:hint="eastAsia"/>
                <w:szCs w:val="21"/>
              </w:rPr>
              <w:t>色</w:t>
            </w:r>
            <w:r w:rsidR="00481C8D">
              <w:rPr>
                <w:rFonts w:hint="eastAsia"/>
                <w:szCs w:val="21"/>
              </w:rPr>
              <w:t>M</w:t>
            </w:r>
            <w:r w:rsidR="00481C8D">
              <w:rPr>
                <w:szCs w:val="21"/>
              </w:rPr>
              <w:t>RD</w:t>
            </w:r>
          </w:p>
        </w:tc>
        <w:tc>
          <w:tcPr>
            <w:tcW w:w="2857" w:type="pct"/>
            <w:vMerge/>
            <w:vAlign w:val="center"/>
          </w:tcPr>
          <w:p w14:paraId="753F5CA9" w14:textId="77777777" w:rsidR="003B0073" w:rsidRPr="00E45117" w:rsidRDefault="003B0073" w:rsidP="003B007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</w:tr>
    </w:tbl>
    <w:p w14:paraId="4E53EC1E" w14:textId="008E64F0" w:rsidR="001B0AA9" w:rsidRDefault="001B0AA9" w:rsidP="00FF2E67"/>
    <w:sectPr w:rsidR="001B0AA9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007F4" w14:textId="77777777" w:rsidR="00B756C6" w:rsidRDefault="00B756C6" w:rsidP="0049316F">
      <w:r>
        <w:separator/>
      </w:r>
    </w:p>
  </w:endnote>
  <w:endnote w:type="continuationSeparator" w:id="0">
    <w:p w14:paraId="763BD48D" w14:textId="77777777" w:rsidR="00B756C6" w:rsidRDefault="00B756C6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EDD7B" w14:textId="77777777" w:rsidR="00B756C6" w:rsidRDefault="00B756C6" w:rsidP="0049316F">
      <w:r>
        <w:separator/>
      </w:r>
    </w:p>
  </w:footnote>
  <w:footnote w:type="continuationSeparator" w:id="0">
    <w:p w14:paraId="3DF1F7C4" w14:textId="77777777" w:rsidR="00B756C6" w:rsidRDefault="00B756C6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B456E8"/>
    <w:multiLevelType w:val="hybridMultilevel"/>
    <w:tmpl w:val="0A20A78C"/>
    <w:lvl w:ilvl="0" w:tplc="E3F0ED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137C2A"/>
    <w:multiLevelType w:val="hybridMultilevel"/>
    <w:tmpl w:val="5BE00A0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7"/>
  </w:num>
  <w:num w:numId="12">
    <w:abstractNumId w:val="2"/>
  </w:num>
  <w:num w:numId="13">
    <w:abstractNumId w:val="4"/>
  </w:num>
  <w:num w:numId="14">
    <w:abstractNumId w:val="11"/>
  </w:num>
  <w:num w:numId="15">
    <w:abstractNumId w:val="19"/>
  </w:num>
  <w:num w:numId="16">
    <w:abstractNumId w:val="15"/>
  </w:num>
  <w:num w:numId="17">
    <w:abstractNumId w:val="8"/>
  </w:num>
  <w:num w:numId="18">
    <w:abstractNumId w:val="18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00165"/>
    <w:rsid w:val="0001345A"/>
    <w:rsid w:val="000163F0"/>
    <w:rsid w:val="00027A79"/>
    <w:rsid w:val="000310BA"/>
    <w:rsid w:val="00055DCF"/>
    <w:rsid w:val="00074719"/>
    <w:rsid w:val="000773AC"/>
    <w:rsid w:val="00092D23"/>
    <w:rsid w:val="00093638"/>
    <w:rsid w:val="000A1E05"/>
    <w:rsid w:val="000C162C"/>
    <w:rsid w:val="000D2F6A"/>
    <w:rsid w:val="001238BC"/>
    <w:rsid w:val="001B0AA9"/>
    <w:rsid w:val="001B6809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F181D"/>
    <w:rsid w:val="002F6703"/>
    <w:rsid w:val="00312D99"/>
    <w:rsid w:val="00314020"/>
    <w:rsid w:val="0033105E"/>
    <w:rsid w:val="0034678E"/>
    <w:rsid w:val="0035561E"/>
    <w:rsid w:val="003656FB"/>
    <w:rsid w:val="00366D6B"/>
    <w:rsid w:val="00367BFB"/>
    <w:rsid w:val="00377C89"/>
    <w:rsid w:val="003A1945"/>
    <w:rsid w:val="003A4BA6"/>
    <w:rsid w:val="003B0073"/>
    <w:rsid w:val="003B01A4"/>
    <w:rsid w:val="003C53C4"/>
    <w:rsid w:val="003D6CF4"/>
    <w:rsid w:val="004074A4"/>
    <w:rsid w:val="004512B2"/>
    <w:rsid w:val="00456EF3"/>
    <w:rsid w:val="00470384"/>
    <w:rsid w:val="0047212C"/>
    <w:rsid w:val="00481C8D"/>
    <w:rsid w:val="00483CE2"/>
    <w:rsid w:val="00485829"/>
    <w:rsid w:val="0049316F"/>
    <w:rsid w:val="004959B5"/>
    <w:rsid w:val="004A3FAF"/>
    <w:rsid w:val="004E4919"/>
    <w:rsid w:val="004E5608"/>
    <w:rsid w:val="004E6B7B"/>
    <w:rsid w:val="005206C8"/>
    <w:rsid w:val="00552EB9"/>
    <w:rsid w:val="005A6AC2"/>
    <w:rsid w:val="005C5D70"/>
    <w:rsid w:val="005E6E19"/>
    <w:rsid w:val="005F29D8"/>
    <w:rsid w:val="00606C03"/>
    <w:rsid w:val="00636957"/>
    <w:rsid w:val="00641704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6F606F"/>
    <w:rsid w:val="007314F3"/>
    <w:rsid w:val="0074382C"/>
    <w:rsid w:val="007631ED"/>
    <w:rsid w:val="0077258D"/>
    <w:rsid w:val="007A5305"/>
    <w:rsid w:val="007B10C1"/>
    <w:rsid w:val="007B5C16"/>
    <w:rsid w:val="007E726F"/>
    <w:rsid w:val="007F1B40"/>
    <w:rsid w:val="00801988"/>
    <w:rsid w:val="00835D57"/>
    <w:rsid w:val="008566A8"/>
    <w:rsid w:val="008B14F1"/>
    <w:rsid w:val="008D180D"/>
    <w:rsid w:val="008E452B"/>
    <w:rsid w:val="0091607C"/>
    <w:rsid w:val="00924B5B"/>
    <w:rsid w:val="00926871"/>
    <w:rsid w:val="00927972"/>
    <w:rsid w:val="00933CA8"/>
    <w:rsid w:val="009871EA"/>
    <w:rsid w:val="00987C88"/>
    <w:rsid w:val="009A3847"/>
    <w:rsid w:val="009B11D8"/>
    <w:rsid w:val="009D6B99"/>
    <w:rsid w:val="009F0ACE"/>
    <w:rsid w:val="00A03B5E"/>
    <w:rsid w:val="00A05EE3"/>
    <w:rsid w:val="00A15606"/>
    <w:rsid w:val="00A6452F"/>
    <w:rsid w:val="00A73730"/>
    <w:rsid w:val="00A74473"/>
    <w:rsid w:val="00AA5D1C"/>
    <w:rsid w:val="00AC5380"/>
    <w:rsid w:val="00AE3A1D"/>
    <w:rsid w:val="00B03D54"/>
    <w:rsid w:val="00B121AC"/>
    <w:rsid w:val="00B23646"/>
    <w:rsid w:val="00B328E3"/>
    <w:rsid w:val="00B7280F"/>
    <w:rsid w:val="00B756C6"/>
    <w:rsid w:val="00B8479F"/>
    <w:rsid w:val="00B9580A"/>
    <w:rsid w:val="00BA0AD4"/>
    <w:rsid w:val="00BC6EF0"/>
    <w:rsid w:val="00BD46A4"/>
    <w:rsid w:val="00BF58F7"/>
    <w:rsid w:val="00C15998"/>
    <w:rsid w:val="00C30C17"/>
    <w:rsid w:val="00C33C43"/>
    <w:rsid w:val="00C46F39"/>
    <w:rsid w:val="00C50E13"/>
    <w:rsid w:val="00C6482E"/>
    <w:rsid w:val="00C850A3"/>
    <w:rsid w:val="00CA027C"/>
    <w:rsid w:val="00CD7FA0"/>
    <w:rsid w:val="00CE5641"/>
    <w:rsid w:val="00CF1D99"/>
    <w:rsid w:val="00D20EE0"/>
    <w:rsid w:val="00D25EB5"/>
    <w:rsid w:val="00D3599A"/>
    <w:rsid w:val="00D50F64"/>
    <w:rsid w:val="00D97B24"/>
    <w:rsid w:val="00DC5E38"/>
    <w:rsid w:val="00DD6483"/>
    <w:rsid w:val="00DD75C1"/>
    <w:rsid w:val="00DF53F5"/>
    <w:rsid w:val="00DF6E22"/>
    <w:rsid w:val="00E35642"/>
    <w:rsid w:val="00E4479C"/>
    <w:rsid w:val="00E5580F"/>
    <w:rsid w:val="00E64E1C"/>
    <w:rsid w:val="00E676C6"/>
    <w:rsid w:val="00EA2AD7"/>
    <w:rsid w:val="00EA3B56"/>
    <w:rsid w:val="00EB61D2"/>
    <w:rsid w:val="00EC277B"/>
    <w:rsid w:val="00EE0100"/>
    <w:rsid w:val="00F16373"/>
    <w:rsid w:val="00F163D5"/>
    <w:rsid w:val="00F36815"/>
    <w:rsid w:val="00F41607"/>
    <w:rsid w:val="00F66628"/>
    <w:rsid w:val="00F766B7"/>
    <w:rsid w:val="00F829E7"/>
    <w:rsid w:val="00F834F9"/>
    <w:rsid w:val="00FE456F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00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00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D:\2023&#24180;&#35797;&#21058;&#25307;&#26631;&#12289;&#35758;&#20215;&#12289;&#22806;&#36865;&#26816;&#39564;\&#30333;&#34880;&#30149;&#23454;&#39564;&#23460;&#27969;&#24335;&#26816;&#27979;&#39033;&#30446;\&#30333;&#34880;&#30149;&#20813;&#30123;&#20998;&#22411;&#31561;&#26816;&#27979;&#39033;&#30446;\&#38498;&#20869;&#33258;&#34892;&#37319;&#36141;\&#35797;&#21058;&#28165;&#21333;&#27719;&#24635;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2023-06-27T02:07:00Z</cp:lastPrinted>
  <dcterms:created xsi:type="dcterms:W3CDTF">2023-09-07T02:47:00Z</dcterms:created>
  <dcterms:modified xsi:type="dcterms:W3CDTF">2023-09-25T06:16:00Z</dcterms:modified>
</cp:coreProperties>
</file>