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9787A" w14:textId="77777777" w:rsidR="00B438DE" w:rsidRDefault="003F39D9" w:rsidP="00A01C72">
      <w:pPr>
        <w:spacing w:line="360" w:lineRule="auto"/>
        <w:jc w:val="center"/>
        <w:outlineLvl w:val="0"/>
        <w:rPr>
          <w:rFonts w:ascii="宋体" w:hAnsi="宋体" w:cs="宋体"/>
          <w:b/>
          <w:sz w:val="36"/>
          <w:szCs w:val="36"/>
        </w:rPr>
      </w:pPr>
      <w:bookmarkStart w:id="0" w:name="_Toc16440"/>
      <w:r w:rsidRPr="003F39D9">
        <w:rPr>
          <w:rFonts w:ascii="宋体" w:hAnsi="宋体" w:cs="宋体" w:hint="eastAsia"/>
          <w:b/>
          <w:sz w:val="36"/>
          <w:szCs w:val="36"/>
        </w:rPr>
        <w:t>浙江大学医学院附属儿童医院</w:t>
      </w:r>
      <w:bookmarkEnd w:id="0"/>
    </w:p>
    <w:p w14:paraId="1D9B2446" w14:textId="596F1EF6" w:rsidR="00B438DE" w:rsidRPr="00B438DE" w:rsidRDefault="00B438DE" w:rsidP="00B438DE">
      <w:pPr>
        <w:spacing w:line="360" w:lineRule="auto"/>
        <w:jc w:val="center"/>
        <w:outlineLvl w:val="0"/>
        <w:rPr>
          <w:rFonts w:ascii="宋体" w:hAnsi="宋体" w:cs="宋体"/>
          <w:b/>
          <w:sz w:val="36"/>
          <w:szCs w:val="36"/>
        </w:rPr>
      </w:pPr>
      <w:r w:rsidRPr="00B438DE">
        <w:rPr>
          <w:rFonts w:ascii="宋体" w:hAnsi="宋体" w:cs="宋体" w:hint="eastAsia"/>
          <w:b/>
          <w:sz w:val="36"/>
          <w:szCs w:val="36"/>
        </w:rPr>
        <w:t>电子病历系统和HIS系统新增需求</w:t>
      </w:r>
      <w:r w:rsidR="00E4303F">
        <w:rPr>
          <w:rFonts w:ascii="宋体" w:hAnsi="宋体" w:cs="宋体" w:hint="eastAsia"/>
          <w:b/>
          <w:sz w:val="36"/>
          <w:szCs w:val="36"/>
        </w:rPr>
        <w:t>项目采购参数</w:t>
      </w:r>
    </w:p>
    <w:p w14:paraId="31F3D436" w14:textId="77777777" w:rsidR="00A01C72" w:rsidRDefault="00A01C72" w:rsidP="003F39D9">
      <w:pPr>
        <w:pStyle w:val="1"/>
      </w:pPr>
      <w:r w:rsidRPr="003F39D9">
        <w:rPr>
          <w:rFonts w:hint="eastAsia"/>
        </w:rPr>
        <w:t>一、整体要求</w:t>
      </w:r>
    </w:p>
    <w:p w14:paraId="761D5D49" w14:textId="1D445358" w:rsidR="006C7D89" w:rsidRPr="00F01AE6" w:rsidRDefault="00F20C59" w:rsidP="00F01AE6">
      <w:pPr>
        <w:adjustRightInd/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F01AE6">
        <w:rPr>
          <w:rFonts w:ascii="宋体" w:hAnsi="宋体" w:cs="宋体"/>
          <w:kern w:val="0"/>
          <w:sz w:val="24"/>
        </w:rPr>
        <w:t>HIS</w:t>
      </w:r>
      <w:r w:rsidRPr="00F01AE6">
        <w:rPr>
          <w:rFonts w:ascii="宋体" w:hAnsi="宋体" w:cs="宋体" w:hint="eastAsia"/>
          <w:kern w:val="0"/>
          <w:sz w:val="24"/>
        </w:rPr>
        <w:t>和电子病历系统</w:t>
      </w:r>
      <w:r w:rsidR="00690CC8" w:rsidRPr="00F01AE6">
        <w:rPr>
          <w:rFonts w:ascii="宋体" w:hAnsi="宋体" w:cs="宋体" w:hint="eastAsia"/>
          <w:kern w:val="0"/>
          <w:sz w:val="24"/>
        </w:rPr>
        <w:t>是医院信息系统的核心业务系统</w:t>
      </w:r>
      <w:r w:rsidR="000F18C1" w:rsidRPr="00F01AE6">
        <w:rPr>
          <w:rFonts w:ascii="宋体" w:hAnsi="宋体" w:cs="宋体" w:hint="eastAsia"/>
          <w:kern w:val="0"/>
          <w:sz w:val="24"/>
        </w:rPr>
        <w:t>，在信息系统的运行过程中需不断地</w:t>
      </w:r>
      <w:r w:rsidR="00BD1CE1" w:rsidRPr="00F01AE6">
        <w:rPr>
          <w:rFonts w:ascii="宋体" w:hAnsi="宋体" w:cs="宋体" w:hint="eastAsia"/>
          <w:kern w:val="0"/>
          <w:sz w:val="24"/>
        </w:rPr>
        <w:t>应对政策</w:t>
      </w:r>
      <w:r w:rsidR="00376A4D" w:rsidRPr="00F01AE6">
        <w:rPr>
          <w:rFonts w:ascii="宋体" w:hAnsi="宋体" w:cs="宋体" w:hint="eastAsia"/>
          <w:kern w:val="0"/>
          <w:sz w:val="24"/>
        </w:rPr>
        <w:t>和医院管理的适应性需求进行改造，</w:t>
      </w:r>
      <w:r w:rsidR="000F18C1" w:rsidRPr="00F01AE6">
        <w:rPr>
          <w:rFonts w:ascii="宋体" w:hAnsi="宋体" w:cs="宋体" w:hint="eastAsia"/>
          <w:kern w:val="0"/>
          <w:sz w:val="24"/>
        </w:rPr>
        <w:t>满足</w:t>
      </w:r>
      <w:r w:rsidR="00C04CE7" w:rsidRPr="00F01AE6">
        <w:rPr>
          <w:rFonts w:ascii="宋体" w:hAnsi="宋体" w:cs="宋体" w:hint="eastAsia"/>
          <w:kern w:val="0"/>
          <w:sz w:val="24"/>
        </w:rPr>
        <w:t>医院</w:t>
      </w:r>
      <w:r w:rsidR="007F07FC" w:rsidRPr="00F01AE6">
        <w:rPr>
          <w:rFonts w:ascii="宋体" w:hAnsi="宋体" w:cs="宋体" w:hint="eastAsia"/>
          <w:kern w:val="0"/>
          <w:sz w:val="24"/>
        </w:rPr>
        <w:t>运营对</w:t>
      </w:r>
      <w:r w:rsidR="00C04CE7" w:rsidRPr="00F01AE6">
        <w:rPr>
          <w:rFonts w:ascii="宋体" w:hAnsi="宋体" w:cs="宋体" w:hint="eastAsia"/>
          <w:kern w:val="0"/>
          <w:sz w:val="24"/>
        </w:rPr>
        <w:t>信息</w:t>
      </w:r>
      <w:r w:rsidR="00376A4D" w:rsidRPr="00F01AE6">
        <w:rPr>
          <w:rFonts w:ascii="宋体" w:hAnsi="宋体" w:cs="宋体" w:hint="eastAsia"/>
          <w:kern w:val="0"/>
          <w:sz w:val="24"/>
        </w:rPr>
        <w:t>系统建设的</w:t>
      </w:r>
      <w:r w:rsidR="007F07FC" w:rsidRPr="00F01AE6">
        <w:rPr>
          <w:rFonts w:ascii="宋体" w:hAnsi="宋体" w:cs="宋体" w:hint="eastAsia"/>
          <w:kern w:val="0"/>
          <w:sz w:val="24"/>
        </w:rPr>
        <w:t>需要</w:t>
      </w:r>
      <w:r w:rsidR="00C04CE7" w:rsidRPr="00F01AE6">
        <w:rPr>
          <w:rFonts w:ascii="宋体" w:hAnsi="宋体" w:cs="宋体" w:hint="eastAsia"/>
          <w:kern w:val="0"/>
          <w:sz w:val="24"/>
        </w:rPr>
        <w:t>。</w:t>
      </w:r>
      <w:r w:rsidR="001F3EE1" w:rsidRPr="00F01AE6">
        <w:rPr>
          <w:rFonts w:ascii="宋体" w:hAnsi="宋体" w:cs="宋体" w:hint="eastAsia"/>
          <w:kern w:val="0"/>
          <w:sz w:val="24"/>
        </w:rPr>
        <w:t>本项目是在医院现有的H</w:t>
      </w:r>
      <w:r w:rsidR="001F3EE1" w:rsidRPr="00F01AE6">
        <w:rPr>
          <w:rFonts w:ascii="宋体" w:hAnsi="宋体" w:cs="宋体"/>
          <w:kern w:val="0"/>
          <w:sz w:val="24"/>
        </w:rPr>
        <w:t>IS</w:t>
      </w:r>
      <w:r w:rsidR="001F3EE1" w:rsidRPr="00F01AE6">
        <w:rPr>
          <w:rFonts w:ascii="宋体" w:hAnsi="宋体" w:cs="宋体" w:hint="eastAsia"/>
          <w:kern w:val="0"/>
          <w:sz w:val="24"/>
        </w:rPr>
        <w:t>和电子病历系统的基础上，</w:t>
      </w:r>
      <w:r w:rsidR="001747ED" w:rsidRPr="00F01AE6">
        <w:rPr>
          <w:rFonts w:ascii="宋体" w:hAnsi="宋体" w:cs="宋体" w:hint="eastAsia"/>
          <w:kern w:val="0"/>
          <w:sz w:val="24"/>
        </w:rPr>
        <w:t>通过对已有功能的修改或新增功能的方式实现。</w:t>
      </w:r>
    </w:p>
    <w:p w14:paraId="05FB3CE7" w14:textId="19B0007E" w:rsidR="00F01AE6" w:rsidRPr="008D4354" w:rsidRDefault="00F01AE6" w:rsidP="00F01AE6">
      <w:pPr>
        <w:adjustRightInd/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8D4354">
        <w:rPr>
          <w:rFonts w:ascii="宋体" w:hAnsi="宋体" w:cs="宋体" w:hint="eastAsia"/>
          <w:kern w:val="0"/>
          <w:sz w:val="24"/>
        </w:rPr>
        <w:t>本次招标要求投标</w:t>
      </w:r>
      <w:r>
        <w:rPr>
          <w:rFonts w:ascii="宋体" w:hAnsi="宋体" w:cs="宋体" w:hint="eastAsia"/>
          <w:kern w:val="0"/>
          <w:sz w:val="24"/>
        </w:rPr>
        <w:t>人</w:t>
      </w:r>
      <w:r w:rsidRPr="008D4354">
        <w:rPr>
          <w:rFonts w:ascii="宋体" w:hAnsi="宋体" w:cs="宋体" w:hint="eastAsia"/>
          <w:kern w:val="0"/>
          <w:sz w:val="24"/>
        </w:rPr>
        <w:t>提供的软件系统架构先进、业务理解深刻。本项目</w:t>
      </w:r>
      <w:r>
        <w:rPr>
          <w:rFonts w:ascii="宋体" w:hAnsi="宋体" w:cs="宋体" w:hint="eastAsia"/>
          <w:kern w:val="0"/>
          <w:sz w:val="24"/>
        </w:rPr>
        <w:t>升级改造的功能要求应</w:t>
      </w:r>
      <w:r w:rsidRPr="008D4354">
        <w:rPr>
          <w:rFonts w:ascii="宋体" w:hAnsi="宋体" w:cs="宋体" w:hint="eastAsia"/>
          <w:kern w:val="0"/>
          <w:sz w:val="24"/>
        </w:rPr>
        <w:t>达到或超过国家电子病历系统应用水平分级评价</w:t>
      </w:r>
      <w:r>
        <w:rPr>
          <w:rFonts w:ascii="宋体" w:hAnsi="宋体" w:cs="宋体" w:hint="eastAsia"/>
          <w:kern w:val="0"/>
          <w:sz w:val="24"/>
        </w:rPr>
        <w:t>六</w:t>
      </w:r>
      <w:r w:rsidRPr="008D4354">
        <w:rPr>
          <w:rFonts w:ascii="宋体" w:hAnsi="宋体" w:cs="宋体" w:hint="eastAsia"/>
          <w:kern w:val="0"/>
          <w:sz w:val="24"/>
        </w:rPr>
        <w:t>级。投标</w:t>
      </w:r>
      <w:r>
        <w:rPr>
          <w:rFonts w:ascii="宋体" w:hAnsi="宋体" w:cs="宋体" w:hint="eastAsia"/>
          <w:kern w:val="0"/>
          <w:sz w:val="24"/>
        </w:rPr>
        <w:t>人</w:t>
      </w:r>
      <w:r w:rsidRPr="008D4354">
        <w:rPr>
          <w:rFonts w:ascii="宋体" w:hAnsi="宋体" w:cs="宋体" w:hint="eastAsia"/>
          <w:kern w:val="0"/>
          <w:sz w:val="24"/>
        </w:rPr>
        <w:t>应承诺为招标</w:t>
      </w:r>
      <w:r>
        <w:rPr>
          <w:rFonts w:ascii="宋体" w:hAnsi="宋体" w:cs="宋体" w:hint="eastAsia"/>
          <w:kern w:val="0"/>
          <w:sz w:val="24"/>
        </w:rPr>
        <w:t>人</w:t>
      </w:r>
      <w:r w:rsidRPr="008D4354">
        <w:rPr>
          <w:rFonts w:ascii="宋体" w:hAnsi="宋体" w:cs="宋体" w:hint="eastAsia"/>
          <w:kern w:val="0"/>
          <w:sz w:val="24"/>
        </w:rPr>
        <w:t>提供合理的个性化服务，并有能力为招标</w:t>
      </w:r>
      <w:r>
        <w:rPr>
          <w:rFonts w:ascii="宋体" w:hAnsi="宋体" w:cs="宋体" w:hint="eastAsia"/>
          <w:kern w:val="0"/>
          <w:sz w:val="24"/>
        </w:rPr>
        <w:t>人</w:t>
      </w:r>
      <w:r w:rsidRPr="008D4354">
        <w:rPr>
          <w:rFonts w:ascii="宋体" w:hAnsi="宋体" w:cs="宋体" w:hint="eastAsia"/>
          <w:kern w:val="0"/>
          <w:sz w:val="24"/>
        </w:rPr>
        <w:t>提供合理的版本管理方案，确保招标</w:t>
      </w:r>
      <w:r>
        <w:rPr>
          <w:rFonts w:ascii="宋体" w:hAnsi="宋体" w:cs="宋体" w:hint="eastAsia"/>
          <w:kern w:val="0"/>
          <w:sz w:val="24"/>
        </w:rPr>
        <w:t>人</w:t>
      </w:r>
      <w:r w:rsidRPr="008D4354">
        <w:rPr>
          <w:rFonts w:ascii="宋体" w:hAnsi="宋体" w:cs="宋体" w:hint="eastAsia"/>
          <w:kern w:val="0"/>
          <w:sz w:val="24"/>
        </w:rPr>
        <w:t>版本管理的完整性和有效性。</w:t>
      </w:r>
    </w:p>
    <w:p w14:paraId="125C172E" w14:textId="77777777" w:rsidR="00F01AE6" w:rsidRPr="008D4354" w:rsidRDefault="00F01AE6" w:rsidP="00F01AE6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D4354">
        <w:rPr>
          <w:rFonts w:ascii="宋体" w:hAnsi="宋体" w:cs="宋体" w:hint="eastAsia"/>
          <w:kern w:val="0"/>
          <w:sz w:val="24"/>
        </w:rPr>
        <w:t>投标</w:t>
      </w:r>
      <w:r>
        <w:rPr>
          <w:rFonts w:ascii="宋体" w:hAnsi="宋体" w:cs="宋体" w:hint="eastAsia"/>
          <w:kern w:val="0"/>
          <w:sz w:val="24"/>
        </w:rPr>
        <w:t>人</w:t>
      </w:r>
      <w:r w:rsidRPr="008D4354">
        <w:rPr>
          <w:rFonts w:ascii="宋体" w:hAnsi="宋体" w:cs="宋体" w:hint="eastAsia"/>
          <w:kern w:val="0"/>
          <w:sz w:val="24"/>
        </w:rPr>
        <w:t>产品功能应具有业界领先水平，系统设计符合医院信息系统的创新潮流。</w:t>
      </w:r>
    </w:p>
    <w:p w14:paraId="71F1E818" w14:textId="77777777" w:rsidR="00F01AE6" w:rsidRPr="008D4354" w:rsidRDefault="00F01AE6" w:rsidP="00F01AE6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D4354">
        <w:rPr>
          <w:rFonts w:ascii="宋体" w:hAnsi="宋体" w:cs="宋体" w:hint="eastAsia"/>
          <w:kern w:val="0"/>
          <w:sz w:val="24"/>
        </w:rPr>
        <w:t>本次招标的信息系统应基于PC服务器架构，系统的技术框架应符合当前技术发展趋势，并具有业界领先优势。</w:t>
      </w:r>
    </w:p>
    <w:p w14:paraId="244BC747" w14:textId="5EF793E7" w:rsidR="001747ED" w:rsidRPr="003E2CB0" w:rsidRDefault="00F01AE6" w:rsidP="003E2CB0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D4354">
        <w:rPr>
          <w:rFonts w:ascii="宋体" w:hAnsi="宋体" w:cs="宋体" w:hint="eastAsia"/>
          <w:kern w:val="0"/>
          <w:sz w:val="24"/>
        </w:rPr>
        <w:t>本项目建设内容应具有延续性，系统建设能充分考虑医院后续信息系统的需要。</w:t>
      </w:r>
    </w:p>
    <w:p w14:paraId="62B58B91" w14:textId="77777777" w:rsidR="00A01C72" w:rsidRPr="003F39D9" w:rsidRDefault="00A01C72" w:rsidP="003F39D9">
      <w:pPr>
        <w:pStyle w:val="1"/>
      </w:pPr>
      <w:r w:rsidRPr="003F39D9">
        <w:rPr>
          <w:rFonts w:hint="eastAsia"/>
        </w:rPr>
        <w:t>二、技术参数</w:t>
      </w:r>
    </w:p>
    <w:tbl>
      <w:tblPr>
        <w:tblStyle w:val="GridTable1Light"/>
        <w:tblW w:w="8897" w:type="dxa"/>
        <w:tblInd w:w="-113" w:type="dxa"/>
        <w:tblLook w:val="04A0" w:firstRow="1" w:lastRow="0" w:firstColumn="1" w:lastColumn="0" w:noHBand="0" w:noVBand="1"/>
      </w:tblPr>
      <w:tblGrid>
        <w:gridCol w:w="691"/>
        <w:gridCol w:w="1156"/>
        <w:gridCol w:w="7050"/>
      </w:tblGrid>
      <w:tr w:rsidR="006E45DF" w:rsidRPr="006E45DF" w14:paraId="65D153EC" w14:textId="77777777" w:rsidTr="006E4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Align w:val="center"/>
          </w:tcPr>
          <w:p w14:paraId="6419D218" w14:textId="77777777" w:rsidR="006E45DF" w:rsidRPr="006E45DF" w:rsidRDefault="006E45DF" w:rsidP="006E45DF">
            <w:pPr>
              <w:spacing w:line="276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156" w:type="dxa"/>
            <w:vAlign w:val="center"/>
            <w:hideMark/>
          </w:tcPr>
          <w:p w14:paraId="4D9DE099" w14:textId="77777777" w:rsidR="006E45DF" w:rsidRPr="006E45DF" w:rsidRDefault="006E45DF" w:rsidP="006E45D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1"/>
                <w:szCs w:val="21"/>
              </w:rPr>
            </w:pPr>
            <w:r w:rsidRPr="006E45DF">
              <w:rPr>
                <w:rFonts w:ascii="宋体" w:hAnsi="宋体" w:cs="宋体"/>
                <w:sz w:val="21"/>
                <w:szCs w:val="21"/>
              </w:rPr>
              <w:t>系统名称</w:t>
            </w:r>
          </w:p>
        </w:tc>
        <w:tc>
          <w:tcPr>
            <w:tcW w:w="7050" w:type="dxa"/>
            <w:hideMark/>
          </w:tcPr>
          <w:p w14:paraId="3CBE2D6A" w14:textId="77777777" w:rsidR="006E45DF" w:rsidRPr="006E45DF" w:rsidRDefault="006E45DF" w:rsidP="006E45D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1"/>
                <w:szCs w:val="21"/>
              </w:rPr>
            </w:pPr>
            <w:r w:rsidRPr="006E45DF">
              <w:rPr>
                <w:rFonts w:ascii="宋体" w:hAnsi="宋体" w:cs="宋体"/>
                <w:sz w:val="21"/>
                <w:szCs w:val="21"/>
              </w:rPr>
              <w:t>建设内容</w:t>
            </w:r>
          </w:p>
        </w:tc>
      </w:tr>
      <w:tr w:rsidR="006E45DF" w:rsidRPr="006E45DF" w14:paraId="72A536D2" w14:textId="77777777" w:rsidTr="006E45DF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Align w:val="center"/>
          </w:tcPr>
          <w:p w14:paraId="2A8D70EF" w14:textId="65F1D6E4" w:rsidR="006E45DF" w:rsidRPr="006E45DF" w:rsidRDefault="006E45DF" w:rsidP="006E45DF">
            <w:pPr>
              <w:spacing w:line="276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6" w:type="dxa"/>
            <w:vAlign w:val="center"/>
          </w:tcPr>
          <w:p w14:paraId="0F323F65" w14:textId="77777777" w:rsidR="006E45DF" w:rsidRPr="006E45DF" w:rsidRDefault="006E45DF" w:rsidP="006E45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HIS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7050" w:type="dxa"/>
          </w:tcPr>
          <w:p w14:paraId="15B6AC82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实现留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观规定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病种住院结算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管理。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提交医嘱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时判断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病人是否是规定病种患者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以及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选择医嘱是否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进规定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病种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。留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观患者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出院结算时先结算规定病种费用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1C04AE27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实现手术室高值耗材管理流程。手术信息管理增加调阅高值耗材界面；支持高值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耗材扫码后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费用数据自动计费；支持高值耗材费用作废；实现相关统计分析报表。</w:t>
            </w:r>
          </w:p>
          <w:p w14:paraId="7A99C71C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医保电子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凭证改造，实现门诊挂号、收费、自助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机预算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新增电子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保凭证预算方式；实现门诊挂号、收费、自助机结算新增电子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保凭证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预算方式；实现自助机电子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保凭证上报报表。</w:t>
            </w:r>
          </w:p>
          <w:p w14:paraId="78787F2B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HIS主索引升级改造。门诊病人信息维护，增加自动监测，出现同身份证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号患者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信息后弹出信息绑定功能界面；支持自定义显示需合并病人信息；支持定向选择合并病人信息；支持合并界面加载病人和选择病人信息；住院病人信息维护，增加自动监测，出现同身份证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号患者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后弹出信息绑定功能界面；支持自定义显示需合并病人信息；支持定向选择合并病人信息；支持合并界面加载病人和选择病人信息；封闭直接建档通道，只允许应急流程处理；实现与主索引系统的升级改。实现门诊主索引上传服务、门诊主索引查询服务、住院主索引上传服务、住院主索引查询服务。实现主索引服务相关的日志记录服务。</w:t>
            </w:r>
          </w:p>
          <w:p w14:paraId="41B39A85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实现平安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VIP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基金建设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新增平安基金，万欣和基金等基金挂号科目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 xml:space="preserve"> 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新增基金支付结算方式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门诊挂号、收费、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诊间结算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时增加特殊结算逻辑，符合基金自费自动使用基金结算，支持抵扣特殊结算模式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报表调整：报表单独体现相关特殊收入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223BAA93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患者信息质量管理。患者在窗口挂号或缴费时，支持自动识别信息不完整内容并给出提示；信息不完整患者，支持快速跳转信息补录界面；窗口支持信息补录完成后自动跳转回原始操作界面；支持接入（APP、小程序、公众号、自助机）患者信息修改请求，完善HIS数据并记录修改日志；提供质量控制报表，用于实时监控数据库中患者信息质量情况。</w:t>
            </w:r>
          </w:p>
          <w:p w14:paraId="660B7D1A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实现省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平台验密取号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接口，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实现相关接口建设。实现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APP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支持验证码取号；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自助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机支持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验证码取号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61CB3505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保费用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上传明细改造。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收费项目维护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增加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饮食费用标识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，出院结算实现饮食费用特殊结算模式，预交金结算时饮食费用正常结算和回退，结算发票饮食费单独体现，结算报表将饮食费用，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保费用明细排除饮食费上传。</w:t>
            </w:r>
          </w:p>
          <w:p w14:paraId="4BBDF435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实现用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血服务不用跑支持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电子发票上传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。实现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用血凭证上传功能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支持选择本地文件中电子发票信息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支持解码图片格式为固定加密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xml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支持调用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用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血发票上传服务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514E649A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实现手机端自助修改病人基本信息接口，将手机APP修改患者基本信息同步至HIS系统。</w:t>
            </w:r>
          </w:p>
          <w:p w14:paraId="47764F7F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保移动支付应用全覆盖，实现窗口、自助机和APP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端全部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流程的支付宝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保移动支付功能。</w:t>
            </w:r>
          </w:p>
          <w:p w14:paraId="20D49607" w14:textId="05E2BAFB" w:rsidR="006E45DF" w:rsidRPr="006E45DF" w:rsidRDefault="00646B8D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按照省智慧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保项目组要求，完成浙江省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“智慧医保”</w:t>
            </w:r>
            <w:r w:rsidR="006E45DF"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招采子系统</w:t>
            </w:r>
            <w:proofErr w:type="gramEnd"/>
            <w:r w:rsidR="006E45DF"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对接改造。</w:t>
            </w:r>
          </w:p>
          <w:p w14:paraId="168C4AAF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实现饮食费两张发票功能建设。有饮食费用的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医保患者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需要打印两张发票（一张上传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医保所有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费用发票和一张饮食费用发票）；无饮食费用患者只需要打印一张发票；有饮食费用的自费患者只需要打印一张发票。</w:t>
            </w:r>
          </w:p>
          <w:p w14:paraId="1F19E1A2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实现母亲身份管理功能，包括如下内容：病人信息维护，新增拓展属性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维护功能，支持浮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框展示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及快捷录入母亲身份信息；支持维护母亲信息（姓名，证件类型，证件号）；增加控制校验，28天内患者自动触发；实现母亲身份管理的第三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方服务供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第三方系统调用。</w:t>
            </w:r>
          </w:p>
          <w:p w14:paraId="3EF1D752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实现住院自助机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保结算功能改造，支持自助机实现住院病人自助结算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实现门诊自助机打印门诊病历功能改造，支持门诊医生书写完成的病历文书，病人在自助机自助打印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5EDE4BF7" w14:textId="77777777" w:rsidR="006E45DF" w:rsidRPr="006E45DF" w:rsidRDefault="006E45DF" w:rsidP="006E45DF">
            <w:pPr>
              <w:pStyle w:val="a7"/>
              <w:numPr>
                <w:ilvl w:val="0"/>
                <w:numId w:val="1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根据《浙江省医疗保障局关于加快推进医保移动支付应用的通知》要求，需要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HIS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系统实现移动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保支付亲情付改造，支持没有支付宝账户的儿童就诊结束后，使用家长的支付宝进行支付，亲情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付需支持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六岁儿童加收功能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6E45DF" w:rsidRPr="006E45DF" w14:paraId="781E33B9" w14:textId="77777777" w:rsidTr="006E45DF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Align w:val="center"/>
          </w:tcPr>
          <w:p w14:paraId="473500D6" w14:textId="69A851B7" w:rsidR="006E45DF" w:rsidRPr="006E45DF" w:rsidRDefault="006E45DF" w:rsidP="006E45DF">
            <w:pPr>
              <w:spacing w:line="276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b w:val="0"/>
                <w:bCs w:val="0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156" w:type="dxa"/>
            <w:vAlign w:val="center"/>
            <w:hideMark/>
          </w:tcPr>
          <w:p w14:paraId="576DF6F8" w14:textId="77777777" w:rsidR="006E45DF" w:rsidRPr="006E45DF" w:rsidRDefault="006E45DF" w:rsidP="006E45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药品系统</w:t>
            </w:r>
          </w:p>
        </w:tc>
        <w:tc>
          <w:tcPr>
            <w:tcW w:w="7050" w:type="dxa"/>
          </w:tcPr>
          <w:p w14:paraId="30A87125" w14:textId="77777777" w:rsidR="006E45DF" w:rsidRPr="006E45DF" w:rsidRDefault="006E45DF" w:rsidP="006E45DF">
            <w:pPr>
              <w:pStyle w:val="a7"/>
              <w:numPr>
                <w:ilvl w:val="0"/>
                <w:numId w:val="1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实现临时药品使用申请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流程管理。可为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患者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申请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开放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特定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药品使用的功能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，药品系统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设置可开具药品的患者，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电子病历医嘱系统方可开出对应的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药品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医嘱。</w:t>
            </w:r>
          </w:p>
          <w:p w14:paraId="4909653E" w14:textId="77777777" w:rsidR="006E45DF" w:rsidRPr="006E45DF" w:rsidRDefault="006E45DF" w:rsidP="006E45DF">
            <w:pPr>
              <w:pStyle w:val="a7"/>
              <w:numPr>
                <w:ilvl w:val="0"/>
                <w:numId w:val="1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实现门诊发药机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功能建设。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走收费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方案配置的处方需要调用自助取药机的处方分配窗口接口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 xml:space="preserve"> HIS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提供扣库接口</w:t>
            </w:r>
            <w:proofErr w:type="gramEnd"/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 xml:space="preserve"> 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HIS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提供查询处方是否已发药接口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 xml:space="preserve"> 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医生退方后，处方状态是未发药，患者退药时调用自助取药机接口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门诊发药菜单点发药时调用亮灯服务接口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门诊发药后调用回传配发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药人员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信息接口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087DDC56" w14:textId="77777777" w:rsidR="006E45DF" w:rsidRPr="006E45DF" w:rsidRDefault="006E45DF" w:rsidP="006E45DF">
            <w:pPr>
              <w:pStyle w:val="a7"/>
              <w:numPr>
                <w:ilvl w:val="0"/>
                <w:numId w:val="1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完成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浙江省麻精毒药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品闭环管控平台对接，对接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精麻毒管理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平台，实现医生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开立精麻毒药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品时，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按平台要求上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传相关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数据。</w:t>
            </w:r>
          </w:p>
        </w:tc>
      </w:tr>
      <w:tr w:rsidR="006E45DF" w:rsidRPr="006E45DF" w14:paraId="5E3B422F" w14:textId="77777777" w:rsidTr="006E45DF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vAlign w:val="center"/>
          </w:tcPr>
          <w:p w14:paraId="39B33146" w14:textId="45DC310D" w:rsidR="006E45DF" w:rsidRPr="006E45DF" w:rsidRDefault="006E45DF" w:rsidP="006E45DF">
            <w:pPr>
              <w:spacing w:line="276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6" w:type="dxa"/>
            <w:vAlign w:val="center"/>
            <w:hideMark/>
          </w:tcPr>
          <w:p w14:paraId="2A762804" w14:textId="77777777" w:rsidR="006E45DF" w:rsidRPr="006E45DF" w:rsidRDefault="006E45DF" w:rsidP="006E45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电子病历系统</w:t>
            </w:r>
          </w:p>
        </w:tc>
        <w:tc>
          <w:tcPr>
            <w:tcW w:w="7050" w:type="dxa"/>
            <w:hideMark/>
          </w:tcPr>
          <w:p w14:paraId="11E9F646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与第三方儿科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专科病历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的融合建设。实现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病人信息、就诊记录、诊断信息、处方信息等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患者诊疗信息数据共享机制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；门诊医生站改造，实现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第三方儿科专科病历集成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病历数据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的同步机制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，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第三方儿科专科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病历数据可以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一直同步至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电子病历系统；实现病历一键自动生成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5799A695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实现检查检验互认智能客户端对标建设工作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实现临床科室、申请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单项目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等互认平台数据维护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门诊医生工作站改造：接诊时调用互认系统；处方保存调用互认接口；处方保存调用阻断接口；增加阻断机制，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30s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内调用不通过自动取消；增加开关功能，实现一次性熔断所有业务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3C988316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实现手机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端支持诊间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加号功能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，实现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APP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新增叫号以及查询叫号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接口服务；线下取号支持自助机取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app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加号、支持窗口取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app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加号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41E9BE7B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实现专科留观病人按门诊结算流程建设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专科留观病人办理入院时，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医保信息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不上传，由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收费处按留观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流程，走门诊流程上传给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保结算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专科留观病人的费用明细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“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急诊观察床位费，门急诊留观检查费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”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，通过留观的方式，走门诊流程上传给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医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保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专科留观病人结算时按门诊流程，留观病人所有费用都按门诊统计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门诊医生给专科留观病人开立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入院证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时，对病人进行专科留观标志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入院处可以看到病人的专科留观标志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病人入区时，根据入院科室和专科留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观标志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判断是否允许入区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3F3D4635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实现与体检系统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集成改造。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体检项目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接口服务；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基础业务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：病人信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lastRenderedPageBreak/>
              <w:t>息查询、病人信息建档、门诊挂号医生排班查询接口、门诊</w:t>
            </w:r>
            <w:proofErr w:type="gramStart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剩余号源查询</w:t>
            </w:r>
            <w:proofErr w:type="gramEnd"/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接口、门诊挂号预结算、门诊挂号结算接口、门诊收费获取待缴费信息接口、门诊收费获取待缴费明细信息接口、门诊收费预结算、门诊收费结算接口、查询挂号结果信息接口、查询收费结果信息接口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；体检业务相关服务：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体检项目开单接口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、体检项目特殊退费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，窗口允许部分退及强制退、体检项目线上退费接口、体检预约系统集成到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电子病历系统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、体检报告查阅集成到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电子病历系统。</w:t>
            </w:r>
          </w:p>
          <w:p w14:paraId="2CBB2AB5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实现与短信平台的服务功能。实现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短信平台短信发送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功能，实现短信发送的计划定时功能，实现短信结果查询功能；按业务实现相关短信推送服务，包括特殊级抗菌药物闭环管理、新生儿信息补录流程建设、危急值闭环流程建设等。</w:t>
            </w:r>
          </w:p>
          <w:p w14:paraId="23623839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实现病历审阅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流程升级改造。实现病历四级审阅流程；病历阅改和审签界面数据同步服务，实现阅改即审签的功能；审签界面支持病历打回功能。</w:t>
            </w:r>
          </w:p>
          <w:p w14:paraId="0A13ADB7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实现互联网医院线上申请单开单流程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。实现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就诊状态变更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服务，生命体征查询服务；诊断管理服务；电子申请单开单服务；电子申请单删除处方服务；门诊挂号排班查询服务；门诊</w:t>
            </w:r>
            <w:proofErr w:type="gramStart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剩余号源查询</w:t>
            </w:r>
            <w:proofErr w:type="gramEnd"/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服务；门诊挂号预结算服务；门诊挂号结算服务；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门诊收费获取待缴费信息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门诊收费获取待缴费明细信息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门诊收费预结算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门诊收费结算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查询挂号结果信息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，查询收费结果信息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服务。</w:t>
            </w:r>
          </w:p>
          <w:p w14:paraId="2FFBF224" w14:textId="77777777" w:rsidR="006E45DF" w:rsidRPr="006E45DF" w:rsidRDefault="006E45DF" w:rsidP="006E45DF">
            <w:pPr>
              <w:pStyle w:val="a7"/>
              <w:numPr>
                <w:ilvl w:val="0"/>
                <w:numId w:val="16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CICU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表单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建设。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CICU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科室床位视图可调阅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CICU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表单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系统；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新增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>CICU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表单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录入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界面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6E45DF">
              <w:rPr>
                <w:rFonts w:ascii="宋体" w:hAnsi="宋体" w:cs="Calibri"/>
                <w:color w:val="000000"/>
                <w:sz w:val="21"/>
                <w:szCs w:val="21"/>
              </w:rPr>
              <w:t xml:space="preserve"> CICU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表单增加自动获取功能，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实现相关数据的自动带入；</w:t>
            </w:r>
            <w:r w:rsidRPr="006E45DF">
              <w:rPr>
                <w:rFonts w:ascii="宋体" w:hAnsi="宋体" w:cs="宋体"/>
                <w:color w:val="000000"/>
                <w:sz w:val="21"/>
                <w:szCs w:val="21"/>
              </w:rPr>
              <w:t>提供表单数据报表查询功能，前台汇总展示表单结果数据</w:t>
            </w:r>
            <w:r w:rsidRPr="006E45DF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</w:tr>
    </w:tbl>
    <w:p w14:paraId="7AD0FCCB" w14:textId="77777777" w:rsidR="00A01C72" w:rsidRPr="006E45DF" w:rsidRDefault="00A01C72" w:rsidP="00A01C72">
      <w:pPr>
        <w:adjustRightInd/>
        <w:spacing w:line="360" w:lineRule="auto"/>
        <w:rPr>
          <w:rFonts w:ascii="宋体" w:hAnsi="宋体" w:cs="宋体"/>
          <w:kern w:val="0"/>
          <w:sz w:val="24"/>
        </w:rPr>
      </w:pPr>
    </w:p>
    <w:p w14:paraId="22B6544E" w14:textId="00F2B9DD" w:rsidR="00A01C72" w:rsidRPr="003F39D9" w:rsidRDefault="00A01C72" w:rsidP="003F39D9">
      <w:pPr>
        <w:pStyle w:val="1"/>
      </w:pPr>
      <w:r w:rsidRPr="003F39D9">
        <w:rPr>
          <w:rFonts w:hint="eastAsia"/>
        </w:rPr>
        <w:t>三、商务要求</w:t>
      </w:r>
    </w:p>
    <w:p w14:paraId="47CCE7E3" w14:textId="77777777" w:rsidR="00A01C72" w:rsidRDefault="00A01C72" w:rsidP="003F39D9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1、系统、设备的安装、调试及上线</w:t>
      </w:r>
    </w:p>
    <w:p w14:paraId="1AE8C81C" w14:textId="0324B94F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zh-CN"/>
        </w:rPr>
        <w:t>）中标人负责安装、调试及上线，招标单位予以配合。</w:t>
      </w:r>
    </w:p>
    <w:p w14:paraId="6F518913" w14:textId="32E5AF11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  <w:lang w:val="zh-CN"/>
        </w:rPr>
        <w:t>）软件的安装、调试所需的工具、仪表及安装材料等应由</w:t>
      </w:r>
      <w:r w:rsidR="003F39D9">
        <w:rPr>
          <w:rFonts w:ascii="宋体" w:hAnsi="宋体" w:cs="宋体" w:hint="eastAsia"/>
          <w:kern w:val="0"/>
          <w:sz w:val="24"/>
          <w:lang w:val="zh-CN"/>
        </w:rPr>
        <w:t>中</w:t>
      </w:r>
      <w:r>
        <w:rPr>
          <w:rFonts w:ascii="宋体" w:hAnsi="宋体" w:cs="宋体" w:hint="eastAsia"/>
          <w:kern w:val="0"/>
          <w:sz w:val="24"/>
          <w:lang w:val="zh-CN"/>
        </w:rPr>
        <w:t>标人自行解决。</w:t>
      </w:r>
    </w:p>
    <w:p w14:paraId="260492DE" w14:textId="77777777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  <w:lang w:val="zh-CN"/>
        </w:rPr>
        <w:t>）中标人在实施前提供详细的实施方案，并提交招标人认可。中标人应根据招标人的需要，在规定的时间内，保证质量，完成系统建设。实施过程中应科学、合理地掌握与其他工作界面的协调、交叉。</w:t>
      </w:r>
    </w:p>
    <w:p w14:paraId="54315292" w14:textId="74D95194" w:rsidR="003F39D9" w:rsidRPr="009E1F73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</w:rPr>
        <w:t>（4）实施工期</w:t>
      </w:r>
      <w:r w:rsidRPr="009E1F73">
        <w:rPr>
          <w:rFonts w:ascii="宋体" w:hAnsi="宋体" w:cs="宋体" w:hint="eastAsia"/>
          <w:kern w:val="0"/>
          <w:sz w:val="24"/>
          <w:lang w:val="zh-CN"/>
        </w:rPr>
        <w:t>：</w:t>
      </w:r>
      <w:r w:rsidR="005468FA" w:rsidRPr="009E1F73">
        <w:rPr>
          <w:rFonts w:ascii="宋体" w:hAnsi="宋体" w:cs="宋体"/>
          <w:kern w:val="0"/>
          <w:sz w:val="24"/>
          <w:lang w:val="zh-CN"/>
        </w:rPr>
        <w:t>1</w:t>
      </w:r>
      <w:r w:rsidRPr="009E1F73">
        <w:rPr>
          <w:rFonts w:ascii="宋体" w:hAnsi="宋体" w:cs="宋体" w:hint="eastAsia"/>
          <w:kern w:val="0"/>
          <w:sz w:val="24"/>
          <w:lang w:val="zh-CN"/>
        </w:rPr>
        <w:t>个月</w:t>
      </w:r>
    </w:p>
    <w:p w14:paraId="188316F5" w14:textId="51C1DDE2" w:rsidR="00A01C72" w:rsidRDefault="003F39D9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（5）免费维护期：</w:t>
      </w:r>
      <w:r w:rsidR="00A01C72">
        <w:rPr>
          <w:rFonts w:ascii="宋体" w:hAnsi="宋体" w:cs="宋体" w:hint="eastAsia"/>
          <w:kern w:val="0"/>
          <w:sz w:val="24"/>
        </w:rPr>
        <w:t>从项目验收合格之日起一年</w:t>
      </w:r>
    </w:p>
    <w:p w14:paraId="78147357" w14:textId="1F1A6A92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3F39D9"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）实施地点：浙江大学医学院附属儿童医院</w:t>
      </w:r>
    </w:p>
    <w:p w14:paraId="54899726" w14:textId="4BE8C591" w:rsidR="00A01C72" w:rsidRDefault="009E1F73" w:rsidP="003F39D9">
      <w:pPr>
        <w:adjustRightInd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 w:rsidR="00A01C72">
        <w:rPr>
          <w:rFonts w:ascii="宋体" w:hAnsi="宋体" w:cs="宋体" w:hint="eastAsia"/>
          <w:kern w:val="0"/>
          <w:sz w:val="24"/>
        </w:rPr>
        <w:t>、售后服务</w:t>
      </w:r>
    </w:p>
    <w:p w14:paraId="3D787807" w14:textId="77777777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（1）本次项目中涉及的系统软件须至少提供壹年质保服务；</w:t>
      </w:r>
    </w:p>
    <w:p w14:paraId="51A17B9C" w14:textId="60D52E7A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（2）投标</w:t>
      </w:r>
      <w:r w:rsidR="003F39D9">
        <w:rPr>
          <w:rFonts w:ascii="宋体" w:hAnsi="宋体" w:cs="宋体" w:hint="eastAsia"/>
          <w:kern w:val="0"/>
          <w:sz w:val="24"/>
        </w:rPr>
        <w:t>人</w:t>
      </w:r>
      <w:r>
        <w:rPr>
          <w:rFonts w:ascii="宋体" w:hAnsi="宋体" w:cs="宋体" w:hint="eastAsia"/>
          <w:kern w:val="0"/>
          <w:sz w:val="24"/>
        </w:rPr>
        <w:t>应在投标文件中说明在保修期内提供的服务计划，维护范围包括（包括但不限于）软、硬件安装，调试、维修，接口、集成等内容。</w:t>
      </w:r>
    </w:p>
    <w:p w14:paraId="3B0FEC0F" w14:textId="6F3CABD0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（3）在系统的服务期内，投标</w:t>
      </w:r>
      <w:r w:rsidR="003F39D9">
        <w:rPr>
          <w:rFonts w:ascii="宋体" w:hAnsi="宋体" w:cs="宋体" w:hint="eastAsia"/>
          <w:kern w:val="0"/>
          <w:sz w:val="24"/>
        </w:rPr>
        <w:t>人</w:t>
      </w:r>
      <w:r>
        <w:rPr>
          <w:rFonts w:ascii="宋体" w:hAnsi="宋体" w:cs="宋体" w:hint="eastAsia"/>
          <w:kern w:val="0"/>
          <w:sz w:val="24"/>
        </w:rPr>
        <w:t>应确保系统的正常使用。在接到用户服务要求后应立即做出回应，并在承诺的服务时间内实施服务。</w:t>
      </w:r>
      <w:bookmarkStart w:id="1" w:name="_GoBack"/>
      <w:bookmarkEnd w:id="1"/>
    </w:p>
    <w:p w14:paraId="6CDFD3DD" w14:textId="3079EED4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投标人有良好的售后服务能力，并提供一年免费服务及软件升级，需提供全年7天24小时服务（电话、远程或现场），并在接到招标人通知后2小时内到达现场。项目验收合格后，每年不低于4次的例行维护及巡检。</w:t>
      </w:r>
    </w:p>
    <w:p w14:paraId="61CFAC03" w14:textId="3E773C2F" w:rsidR="00A01C72" w:rsidRDefault="00B027FB" w:rsidP="003F39D9">
      <w:pPr>
        <w:adjustRightInd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 w:rsidR="00A01C72">
        <w:rPr>
          <w:rFonts w:ascii="宋体" w:hAnsi="宋体" w:cs="宋体" w:hint="eastAsia"/>
          <w:kern w:val="0"/>
          <w:sz w:val="24"/>
        </w:rPr>
        <w:t>、培训</w:t>
      </w:r>
    </w:p>
    <w:p w14:paraId="5A852210" w14:textId="38AAFB08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B027FB"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）根据医院的情况制定相关培训方案，课程设置等。包括培训资料、讲义等。</w:t>
      </w:r>
    </w:p>
    <w:p w14:paraId="4078A424" w14:textId="33E53C65" w:rsidR="00A01C72" w:rsidRDefault="00A01C72" w:rsidP="00A01C72">
      <w:pPr>
        <w:adjustRightInd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B027FB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）所有的培训费用必须计入投标总价。</w:t>
      </w:r>
    </w:p>
    <w:p w14:paraId="7C4AAB3B" w14:textId="3CCBCDBB" w:rsidR="00B027FB" w:rsidRPr="00646B8D" w:rsidRDefault="00433375" w:rsidP="00646B8D">
      <w:pPr>
        <w:adjustRightInd/>
        <w:spacing w:line="360" w:lineRule="auto"/>
        <w:rPr>
          <w:rFonts w:ascii="宋体" w:hAnsi="宋体" w:cs="宋体"/>
          <w:kern w:val="0"/>
          <w:sz w:val="24"/>
        </w:rPr>
      </w:pPr>
      <w:r w:rsidRPr="00646B8D">
        <w:rPr>
          <w:rFonts w:ascii="宋体" w:hAnsi="宋体" w:cs="宋体" w:hint="eastAsia"/>
          <w:kern w:val="0"/>
          <w:sz w:val="24"/>
        </w:rPr>
        <w:t>4</w:t>
      </w:r>
      <w:r w:rsidRPr="00646B8D">
        <w:rPr>
          <w:rFonts w:ascii="宋体" w:hAnsi="宋体" w:cs="宋体"/>
          <w:kern w:val="0"/>
          <w:sz w:val="24"/>
        </w:rPr>
        <w:t>.</w:t>
      </w:r>
      <w:r w:rsidRPr="00646B8D">
        <w:rPr>
          <w:rFonts w:ascii="宋体" w:hAnsi="宋体" w:cs="宋体" w:hint="eastAsia"/>
          <w:kern w:val="0"/>
          <w:sz w:val="24"/>
        </w:rPr>
        <w:t>付款</w:t>
      </w:r>
    </w:p>
    <w:p w14:paraId="71A0564C" w14:textId="1534AA80" w:rsidR="00433375" w:rsidRPr="00B027FB" w:rsidRDefault="00433375" w:rsidP="00B027FB">
      <w:pPr>
        <w:pStyle w:val="a0"/>
        <w:ind w:firstLine="210"/>
      </w:pPr>
      <w:r>
        <w:rPr>
          <w:rFonts w:hint="eastAsia"/>
        </w:rPr>
        <w:t xml:space="preserve"> </w:t>
      </w:r>
      <w:r>
        <w:t xml:space="preserve">   </w:t>
      </w:r>
    </w:p>
    <w:sectPr w:rsidR="00433375" w:rsidRPr="00B0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013E5" w14:textId="77777777" w:rsidR="00F14714" w:rsidRDefault="00F14714" w:rsidP="003F39D9">
      <w:r>
        <w:separator/>
      </w:r>
    </w:p>
  </w:endnote>
  <w:endnote w:type="continuationSeparator" w:id="0">
    <w:p w14:paraId="73D2A793" w14:textId="77777777" w:rsidR="00F14714" w:rsidRDefault="00F14714" w:rsidP="003F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F51F8" w14:textId="77777777" w:rsidR="00F14714" w:rsidRDefault="00F14714" w:rsidP="003F39D9">
      <w:r>
        <w:separator/>
      </w:r>
    </w:p>
  </w:footnote>
  <w:footnote w:type="continuationSeparator" w:id="0">
    <w:p w14:paraId="41527283" w14:textId="77777777" w:rsidR="00F14714" w:rsidRDefault="00F14714" w:rsidP="003F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FCEB0"/>
    <w:multiLevelType w:val="singleLevel"/>
    <w:tmpl w:val="B4BFCEB0"/>
    <w:lvl w:ilvl="0">
      <w:start w:val="1"/>
      <w:numFmt w:val="decimal"/>
      <w:suff w:val="nothing"/>
      <w:lvlText w:val="%1、"/>
      <w:lvlJc w:val="left"/>
    </w:lvl>
  </w:abstractNum>
  <w:abstractNum w:abstractNumId="1">
    <w:nsid w:val="CC34A5E0"/>
    <w:multiLevelType w:val="singleLevel"/>
    <w:tmpl w:val="CC34A5E0"/>
    <w:lvl w:ilvl="0">
      <w:start w:val="1"/>
      <w:numFmt w:val="decimal"/>
      <w:suff w:val="nothing"/>
      <w:lvlText w:val="%1）"/>
      <w:lvlJc w:val="left"/>
    </w:lvl>
  </w:abstractNum>
  <w:abstractNum w:abstractNumId="2">
    <w:nsid w:val="02D02435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B035D"/>
    <w:multiLevelType w:val="singleLevel"/>
    <w:tmpl w:val="09FB035D"/>
    <w:lvl w:ilvl="0">
      <w:start w:val="1"/>
      <w:numFmt w:val="decimal"/>
      <w:suff w:val="nothing"/>
      <w:lvlText w:val="%1、"/>
      <w:lvlJc w:val="left"/>
    </w:lvl>
  </w:abstractNum>
  <w:abstractNum w:abstractNumId="4">
    <w:nsid w:val="1AAA9C34"/>
    <w:multiLevelType w:val="singleLevel"/>
    <w:tmpl w:val="1AAA9C34"/>
    <w:lvl w:ilvl="0">
      <w:start w:val="1"/>
      <w:numFmt w:val="decimal"/>
      <w:suff w:val="nothing"/>
      <w:lvlText w:val="%1、"/>
      <w:lvlJc w:val="left"/>
    </w:lvl>
  </w:abstractNum>
  <w:abstractNum w:abstractNumId="5">
    <w:nsid w:val="25FE3D27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526B4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7B098B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A33B3"/>
    <w:multiLevelType w:val="hybridMultilevel"/>
    <w:tmpl w:val="5840F2D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D73395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032D2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C7D9E"/>
    <w:multiLevelType w:val="hybridMultilevel"/>
    <w:tmpl w:val="0A86013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77D907"/>
    <w:multiLevelType w:val="singleLevel"/>
    <w:tmpl w:val="6777D907"/>
    <w:lvl w:ilvl="0">
      <w:start w:val="1"/>
      <w:numFmt w:val="decimal"/>
      <w:suff w:val="nothing"/>
      <w:lvlText w:val="%1、"/>
      <w:lvlJc w:val="left"/>
    </w:lvl>
  </w:abstractNum>
  <w:abstractNum w:abstractNumId="13">
    <w:nsid w:val="6DB632C4"/>
    <w:multiLevelType w:val="hybridMultilevel"/>
    <w:tmpl w:val="933CF7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46BD5"/>
    <w:multiLevelType w:val="hybridMultilevel"/>
    <w:tmpl w:val="4434CDBC"/>
    <w:lvl w:ilvl="0" w:tplc="12604A9A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F1F52"/>
    <w:multiLevelType w:val="hybridMultilevel"/>
    <w:tmpl w:val="4CEEDE8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72"/>
    <w:rsid w:val="000033AF"/>
    <w:rsid w:val="000F18C1"/>
    <w:rsid w:val="001747ED"/>
    <w:rsid w:val="00175609"/>
    <w:rsid w:val="001F3EE1"/>
    <w:rsid w:val="00376A4D"/>
    <w:rsid w:val="003E2CB0"/>
    <w:rsid w:val="003F39D9"/>
    <w:rsid w:val="00433375"/>
    <w:rsid w:val="00543CC8"/>
    <w:rsid w:val="005468FA"/>
    <w:rsid w:val="005B53A4"/>
    <w:rsid w:val="005D1C2A"/>
    <w:rsid w:val="005E36CF"/>
    <w:rsid w:val="00623667"/>
    <w:rsid w:val="00646B8D"/>
    <w:rsid w:val="00690CC8"/>
    <w:rsid w:val="006C7D89"/>
    <w:rsid w:val="006D6FB3"/>
    <w:rsid w:val="006E45DF"/>
    <w:rsid w:val="007F07FC"/>
    <w:rsid w:val="00896860"/>
    <w:rsid w:val="008D4354"/>
    <w:rsid w:val="00925ACC"/>
    <w:rsid w:val="009304A4"/>
    <w:rsid w:val="009618DB"/>
    <w:rsid w:val="009E1F73"/>
    <w:rsid w:val="00A01C72"/>
    <w:rsid w:val="00A02986"/>
    <w:rsid w:val="00A84802"/>
    <w:rsid w:val="00B027FB"/>
    <w:rsid w:val="00B438DE"/>
    <w:rsid w:val="00B733E0"/>
    <w:rsid w:val="00BD1CE1"/>
    <w:rsid w:val="00BD214C"/>
    <w:rsid w:val="00C04CE7"/>
    <w:rsid w:val="00C95CA4"/>
    <w:rsid w:val="00CB5DC0"/>
    <w:rsid w:val="00DD3AC2"/>
    <w:rsid w:val="00DF3649"/>
    <w:rsid w:val="00E4303F"/>
    <w:rsid w:val="00F01AE6"/>
    <w:rsid w:val="00F14714"/>
    <w:rsid w:val="00F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A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1C72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F39D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39D9"/>
    <w:pPr>
      <w:keepNext/>
      <w:keepLines/>
      <w:spacing w:before="260" w:after="260" w:line="416" w:lineRule="auto"/>
      <w:outlineLvl w:val="1"/>
    </w:pPr>
    <w:rPr>
      <w:rFonts w:ascii="宋体" w:hAnsi="宋体" w:cstheme="majorBidi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01C7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01C72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4"/>
    <w:link w:val="Char0"/>
    <w:uiPriority w:val="99"/>
    <w:semiHidden/>
    <w:unhideWhenUsed/>
    <w:rsid w:val="00A01C72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A01C72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header"/>
    <w:basedOn w:val="a"/>
    <w:link w:val="Char1"/>
    <w:uiPriority w:val="99"/>
    <w:unhideWhenUsed/>
    <w:rsid w:val="003F3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3F39D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Char2"/>
    <w:uiPriority w:val="99"/>
    <w:unhideWhenUsed/>
    <w:rsid w:val="003F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3F39D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Char">
    <w:name w:val="标题 1 Char"/>
    <w:basedOn w:val="a1"/>
    <w:link w:val="1"/>
    <w:uiPriority w:val="9"/>
    <w:rsid w:val="003F39D9"/>
    <w:rPr>
      <w:rFonts w:ascii="Times New Roman" w:eastAsia="宋体" w:hAnsi="Times New Roman" w:cs="Times New Roman"/>
      <w:b/>
      <w:bCs/>
      <w:kern w:val="44"/>
      <w:sz w:val="32"/>
      <w:szCs w:val="32"/>
      <w14:ligatures w14:val="none"/>
    </w:rPr>
  </w:style>
  <w:style w:type="character" w:customStyle="1" w:styleId="2Char">
    <w:name w:val="标题 2 Char"/>
    <w:basedOn w:val="a1"/>
    <w:link w:val="2"/>
    <w:uiPriority w:val="9"/>
    <w:rsid w:val="003F39D9"/>
    <w:rPr>
      <w:rFonts w:ascii="宋体" w:eastAsia="宋体" w:hAnsi="宋体" w:cstheme="majorBidi"/>
      <w:b/>
      <w:bCs/>
      <w:sz w:val="30"/>
      <w:szCs w:val="30"/>
      <w14:ligatures w14:val="none"/>
    </w:rPr>
  </w:style>
  <w:style w:type="paragraph" w:styleId="a7">
    <w:name w:val="List Paragraph"/>
    <w:basedOn w:val="a"/>
    <w:link w:val="Char3"/>
    <w:uiPriority w:val="34"/>
    <w:qFormat/>
    <w:rsid w:val="008D4354"/>
    <w:pPr>
      <w:widowControl/>
      <w:tabs>
        <w:tab w:val="left" w:pos="440"/>
      </w:tabs>
      <w:adjustRightInd/>
      <w:spacing w:after="160" w:line="360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Char3">
    <w:name w:val="列出段落 Char"/>
    <w:link w:val="a7"/>
    <w:uiPriority w:val="34"/>
    <w:locked/>
    <w:rsid w:val="008D4354"/>
    <w:rPr>
      <w:rFonts w:eastAsia="宋体"/>
      <w:kern w:val="0"/>
      <w:sz w:val="22"/>
      <w14:ligatures w14:val="none"/>
    </w:rPr>
  </w:style>
  <w:style w:type="table" w:customStyle="1" w:styleId="GridTable1Light">
    <w:name w:val="Grid Table 1 Light"/>
    <w:basedOn w:val="a2"/>
    <w:uiPriority w:val="46"/>
    <w:rsid w:val="008D4354"/>
    <w:rPr>
      <w:kern w:val="0"/>
      <w:sz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Char4"/>
    <w:uiPriority w:val="99"/>
    <w:semiHidden/>
    <w:unhideWhenUsed/>
    <w:rsid w:val="00E4303F"/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semiHidden/>
    <w:rsid w:val="00E4303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1C72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F39D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39D9"/>
    <w:pPr>
      <w:keepNext/>
      <w:keepLines/>
      <w:spacing w:before="260" w:after="260" w:line="416" w:lineRule="auto"/>
      <w:outlineLvl w:val="1"/>
    </w:pPr>
    <w:rPr>
      <w:rFonts w:ascii="宋体" w:hAnsi="宋体" w:cstheme="majorBidi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01C7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01C72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4"/>
    <w:link w:val="Char0"/>
    <w:uiPriority w:val="99"/>
    <w:semiHidden/>
    <w:unhideWhenUsed/>
    <w:rsid w:val="00A01C72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A01C72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header"/>
    <w:basedOn w:val="a"/>
    <w:link w:val="Char1"/>
    <w:uiPriority w:val="99"/>
    <w:unhideWhenUsed/>
    <w:rsid w:val="003F3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3F39D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Char2"/>
    <w:uiPriority w:val="99"/>
    <w:unhideWhenUsed/>
    <w:rsid w:val="003F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3F39D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Char">
    <w:name w:val="标题 1 Char"/>
    <w:basedOn w:val="a1"/>
    <w:link w:val="1"/>
    <w:uiPriority w:val="9"/>
    <w:rsid w:val="003F39D9"/>
    <w:rPr>
      <w:rFonts w:ascii="Times New Roman" w:eastAsia="宋体" w:hAnsi="Times New Roman" w:cs="Times New Roman"/>
      <w:b/>
      <w:bCs/>
      <w:kern w:val="44"/>
      <w:sz w:val="32"/>
      <w:szCs w:val="32"/>
      <w14:ligatures w14:val="none"/>
    </w:rPr>
  </w:style>
  <w:style w:type="character" w:customStyle="1" w:styleId="2Char">
    <w:name w:val="标题 2 Char"/>
    <w:basedOn w:val="a1"/>
    <w:link w:val="2"/>
    <w:uiPriority w:val="9"/>
    <w:rsid w:val="003F39D9"/>
    <w:rPr>
      <w:rFonts w:ascii="宋体" w:eastAsia="宋体" w:hAnsi="宋体" w:cstheme="majorBidi"/>
      <w:b/>
      <w:bCs/>
      <w:sz w:val="30"/>
      <w:szCs w:val="30"/>
      <w14:ligatures w14:val="none"/>
    </w:rPr>
  </w:style>
  <w:style w:type="paragraph" w:styleId="a7">
    <w:name w:val="List Paragraph"/>
    <w:basedOn w:val="a"/>
    <w:link w:val="Char3"/>
    <w:uiPriority w:val="34"/>
    <w:qFormat/>
    <w:rsid w:val="008D4354"/>
    <w:pPr>
      <w:widowControl/>
      <w:tabs>
        <w:tab w:val="left" w:pos="440"/>
      </w:tabs>
      <w:adjustRightInd/>
      <w:spacing w:after="160" w:line="360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Char3">
    <w:name w:val="列出段落 Char"/>
    <w:link w:val="a7"/>
    <w:uiPriority w:val="34"/>
    <w:locked/>
    <w:rsid w:val="008D4354"/>
    <w:rPr>
      <w:rFonts w:eastAsia="宋体"/>
      <w:kern w:val="0"/>
      <w:sz w:val="22"/>
      <w14:ligatures w14:val="none"/>
    </w:rPr>
  </w:style>
  <w:style w:type="table" w:customStyle="1" w:styleId="GridTable1Light">
    <w:name w:val="Grid Table 1 Light"/>
    <w:basedOn w:val="a2"/>
    <w:uiPriority w:val="46"/>
    <w:rsid w:val="008D4354"/>
    <w:rPr>
      <w:kern w:val="0"/>
      <w:sz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Char4"/>
    <w:uiPriority w:val="99"/>
    <w:semiHidden/>
    <w:unhideWhenUsed/>
    <w:rsid w:val="00E4303F"/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semiHidden/>
    <w:rsid w:val="00E4303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Qiongying</dc:creator>
  <cp:keywords/>
  <dc:description/>
  <cp:lastModifiedBy>DELL</cp:lastModifiedBy>
  <cp:revision>32</cp:revision>
  <cp:lastPrinted>2023-11-15T06:26:00Z</cp:lastPrinted>
  <dcterms:created xsi:type="dcterms:W3CDTF">2023-11-13T08:03:00Z</dcterms:created>
  <dcterms:modified xsi:type="dcterms:W3CDTF">2023-11-27T01:22:00Z</dcterms:modified>
</cp:coreProperties>
</file>