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F4" w:rsidRDefault="000A011E">
      <w:pPr>
        <w:pStyle w:val="1"/>
        <w:ind w:firstLine="643"/>
        <w:rPr>
          <w:rFonts w:ascii="宋体" w:hAnsi="宋体" w:cs="宋体"/>
          <w:sz w:val="32"/>
          <w:szCs w:val="52"/>
        </w:rPr>
      </w:pPr>
      <w:bookmarkStart w:id="0" w:name="_Toc24995"/>
      <w:bookmarkStart w:id="1" w:name="_Toc450840086"/>
      <w:r>
        <w:rPr>
          <w:rFonts w:ascii="宋体" w:hAnsi="宋体" w:cs="宋体" w:hint="eastAsia"/>
          <w:sz w:val="32"/>
          <w:szCs w:val="52"/>
        </w:rPr>
        <w:t>治疗车等推车采购需求</w:t>
      </w:r>
    </w:p>
    <w:p w:rsidR="00E33AF4" w:rsidRDefault="000A011E">
      <w:pPr>
        <w:adjustRightInd w:val="0"/>
        <w:snapToGrid w:val="0"/>
        <w:ind w:firstLineChars="0" w:firstLine="0"/>
        <w:outlineLvl w:val="1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一、概况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1</w:t>
      </w:r>
      <w:r>
        <w:rPr>
          <w:rFonts w:ascii="宋体" w:hAnsi="宋体" w:cs="宋体" w:hint="eastAsia"/>
          <w:sz w:val="22"/>
          <w:szCs w:val="22"/>
        </w:rPr>
        <w:t>、本次采购内容为浙江大学医学院附属儿童医院</w:t>
      </w:r>
      <w:r>
        <w:rPr>
          <w:rFonts w:ascii="宋体" w:hAnsi="宋体" w:cs="宋体" w:hint="eastAsia"/>
          <w:sz w:val="22"/>
          <w:szCs w:val="22"/>
        </w:rPr>
        <w:t>莫干山院区</w:t>
      </w:r>
      <w:r>
        <w:rPr>
          <w:rFonts w:ascii="宋体" w:hAnsi="宋体" w:cs="宋体" w:hint="eastAsia"/>
          <w:sz w:val="22"/>
          <w:szCs w:val="22"/>
        </w:rPr>
        <w:t>治疗车等推车，要求供应商提供的货物必须是合格的、未曾使用过的全新产品，所采用的材料优良、质量上乘，原材料、辅料、成品均须符合相应的国家标准和行业标准的要求，美观、牢固、耐用。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2</w:t>
      </w:r>
      <w:r>
        <w:rPr>
          <w:rFonts w:ascii="宋体" w:hAnsi="宋体" w:cs="宋体" w:hint="eastAsia"/>
          <w:sz w:val="22"/>
          <w:szCs w:val="22"/>
        </w:rPr>
        <w:t>、安装调试及验收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2.1</w:t>
      </w:r>
      <w:r>
        <w:rPr>
          <w:rFonts w:ascii="宋体" w:hAnsi="宋体" w:cs="宋体" w:hint="eastAsia"/>
          <w:sz w:val="22"/>
          <w:szCs w:val="22"/>
        </w:rPr>
        <w:tab/>
      </w:r>
      <w:r>
        <w:rPr>
          <w:rFonts w:ascii="宋体" w:hAnsi="宋体" w:cs="宋体" w:hint="eastAsia"/>
          <w:sz w:val="22"/>
          <w:szCs w:val="22"/>
        </w:rPr>
        <w:t>安装地点：医院指定地点。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 xml:space="preserve">2.2 </w:t>
      </w:r>
      <w:r>
        <w:rPr>
          <w:rFonts w:ascii="宋体" w:hAnsi="宋体" w:cs="宋体" w:hint="eastAsia"/>
          <w:sz w:val="22"/>
          <w:szCs w:val="22"/>
        </w:rPr>
        <w:t>安装标准：符合我国国家有关技术规范要求和技术标准。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 xml:space="preserve">2.3 </w:t>
      </w:r>
      <w:r>
        <w:rPr>
          <w:rFonts w:ascii="宋体" w:hAnsi="宋体" w:cs="宋体" w:hint="eastAsia"/>
          <w:sz w:val="22"/>
          <w:szCs w:val="22"/>
        </w:rPr>
        <w:t>安装过程中发生的费用由供应商负责。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2.4</w:t>
      </w:r>
      <w:r>
        <w:rPr>
          <w:rFonts w:ascii="宋体" w:hAnsi="宋体" w:cs="宋体" w:hint="eastAsia"/>
          <w:sz w:val="22"/>
          <w:szCs w:val="22"/>
        </w:rPr>
        <w:t>验收：每批货物到场时，采购人对货物的包装、结构、外观、尺寸、工艺质量进行验收；供货商供货时同时提供产品材质、用料证明及成品质检报告。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3</w:t>
      </w:r>
      <w:r>
        <w:rPr>
          <w:rFonts w:ascii="宋体" w:hAnsi="宋体" w:cs="宋体" w:hint="eastAsia"/>
          <w:sz w:val="22"/>
          <w:szCs w:val="22"/>
        </w:rPr>
        <w:t>、数量说明及供货要求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3.1</w:t>
      </w:r>
      <w:r>
        <w:rPr>
          <w:rFonts w:ascii="宋体" w:hAnsi="宋体" w:cs="宋体" w:hint="eastAsia"/>
          <w:sz w:val="22"/>
          <w:szCs w:val="22"/>
        </w:rPr>
        <w:t>本次采购数量为暂定数量，最终采购量以实际供货数量为准，实际履行金额达到合同金额，合同截止。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3.2</w:t>
      </w:r>
      <w:r>
        <w:rPr>
          <w:rFonts w:ascii="宋体" w:hAnsi="宋体" w:cs="宋体" w:hint="eastAsia"/>
          <w:sz w:val="22"/>
          <w:szCs w:val="22"/>
        </w:rPr>
        <w:t>到货期：根据采购人需求，订货后</w:t>
      </w:r>
      <w:r>
        <w:rPr>
          <w:rFonts w:ascii="宋体" w:hAnsi="宋体" w:cs="宋体" w:hint="eastAsia"/>
          <w:sz w:val="22"/>
          <w:szCs w:val="22"/>
        </w:rPr>
        <w:t>10</w:t>
      </w:r>
      <w:r>
        <w:rPr>
          <w:rFonts w:ascii="宋体" w:hAnsi="宋体" w:cs="宋体" w:hint="eastAsia"/>
          <w:sz w:val="22"/>
          <w:szCs w:val="22"/>
        </w:rPr>
        <w:t>天内完成交货、安装，调试。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4</w:t>
      </w:r>
      <w:r>
        <w:rPr>
          <w:rFonts w:ascii="宋体" w:hAnsi="宋体" w:cs="宋体" w:hint="eastAsia"/>
          <w:sz w:val="22"/>
          <w:szCs w:val="22"/>
        </w:rPr>
        <w:t>、备品备件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4.1</w:t>
      </w:r>
      <w:r>
        <w:rPr>
          <w:rFonts w:ascii="宋体" w:hAnsi="宋体" w:cs="宋体" w:hint="eastAsia"/>
          <w:sz w:val="22"/>
          <w:szCs w:val="22"/>
        </w:rPr>
        <w:t>货物在医院使用期间，供应商须设立长期备品备件库，供医院维修时使用。供应商接到医院通知后需在</w:t>
      </w:r>
      <w:r>
        <w:rPr>
          <w:rFonts w:ascii="宋体" w:hAnsi="宋体" w:cs="宋体" w:hint="eastAsia"/>
          <w:sz w:val="22"/>
          <w:szCs w:val="22"/>
        </w:rPr>
        <w:t>24</w:t>
      </w:r>
      <w:r>
        <w:rPr>
          <w:rFonts w:ascii="宋体" w:hAnsi="宋体" w:cs="宋体" w:hint="eastAsia"/>
          <w:sz w:val="22"/>
          <w:szCs w:val="22"/>
        </w:rPr>
        <w:t>小时内将维修配件送至医院指定地点。</w:t>
      </w:r>
    </w:p>
    <w:p w:rsidR="00E33AF4" w:rsidRDefault="000A011E">
      <w:pPr>
        <w:pStyle w:val="10"/>
        <w:widowControl w:val="0"/>
        <w:autoSpaceDE w:val="0"/>
        <w:autoSpaceDN w:val="0"/>
        <w:adjustRightInd w:val="0"/>
        <w:snapToGrid w:val="0"/>
        <w:spacing w:line="360" w:lineRule="exact"/>
        <w:ind w:left="0" w:firstLine="440"/>
        <w:jc w:val="both"/>
        <w:textAlignment w:val="bottom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5</w:t>
      </w:r>
      <w:r>
        <w:rPr>
          <w:rFonts w:ascii="宋体" w:hAnsi="宋体" w:cs="宋体" w:hint="eastAsia"/>
          <w:lang w:eastAsia="zh-CN"/>
        </w:rPr>
        <w:t>、质保和售后服务</w:t>
      </w:r>
    </w:p>
    <w:p w:rsidR="00E33AF4" w:rsidRDefault="000A011E">
      <w:pPr>
        <w:pStyle w:val="10"/>
        <w:widowControl w:val="0"/>
        <w:autoSpaceDE w:val="0"/>
        <w:autoSpaceDN w:val="0"/>
        <w:adjustRightInd w:val="0"/>
        <w:snapToGrid w:val="0"/>
        <w:spacing w:line="360" w:lineRule="exact"/>
        <w:ind w:left="0" w:firstLine="440"/>
        <w:jc w:val="both"/>
        <w:textAlignment w:val="bottom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szCs w:val="21"/>
          <w:lang w:eastAsia="zh-CN"/>
        </w:rPr>
        <w:t>供应商须承诺</w:t>
      </w:r>
      <w:r>
        <w:rPr>
          <w:rFonts w:ascii="宋体" w:hAnsi="宋体" w:cs="宋体" w:hint="eastAsia"/>
          <w:szCs w:val="21"/>
          <w:lang w:eastAsia="zh-CN"/>
        </w:rPr>
        <w:t>所供全部产品的质量符合或优于国家和行业的技术标准和规范、安全。否则，供应商将承担一切经济损失的赔偿及法律责任。</w:t>
      </w:r>
      <w:r>
        <w:rPr>
          <w:rFonts w:ascii="宋体" w:hAnsi="宋体" w:cs="宋体" w:hint="eastAsia"/>
          <w:lang w:eastAsia="zh-CN"/>
        </w:rPr>
        <w:t>提供所有产品</w:t>
      </w:r>
      <w:r>
        <w:rPr>
          <w:rFonts w:ascii="宋体" w:hAnsi="宋体" w:cs="宋体" w:hint="eastAsia"/>
          <w:b/>
          <w:bCs/>
          <w:lang w:eastAsia="zh-CN"/>
        </w:rPr>
        <w:t>质保期至少</w:t>
      </w:r>
      <w:r>
        <w:rPr>
          <w:rFonts w:ascii="宋体" w:hAnsi="宋体" w:cs="宋体" w:hint="eastAsia"/>
          <w:b/>
          <w:bCs/>
          <w:lang w:eastAsia="zh-CN"/>
        </w:rPr>
        <w:t>5</w:t>
      </w:r>
      <w:r>
        <w:rPr>
          <w:rFonts w:ascii="宋体" w:hAnsi="宋体" w:cs="宋体" w:hint="eastAsia"/>
          <w:b/>
          <w:bCs/>
          <w:lang w:eastAsia="zh-CN"/>
        </w:rPr>
        <w:t>年</w:t>
      </w:r>
      <w:r>
        <w:rPr>
          <w:rFonts w:ascii="宋体" w:hAnsi="宋体" w:cs="宋体" w:hint="eastAsia"/>
          <w:lang w:eastAsia="zh-CN"/>
        </w:rPr>
        <w:t>。在合同履行过程中及质保期内所发生的保养费用、维护费用、因材料或制造质量问题需要更新和更换的费用、零配件更换费用等以及人工上门服务费均不再另行收费。</w:t>
      </w:r>
    </w:p>
    <w:p w:rsidR="00E33AF4" w:rsidRDefault="000A011E">
      <w:pPr>
        <w:pStyle w:val="10"/>
        <w:widowControl w:val="0"/>
        <w:autoSpaceDE w:val="0"/>
        <w:autoSpaceDN w:val="0"/>
        <w:adjustRightInd w:val="0"/>
        <w:snapToGrid w:val="0"/>
        <w:spacing w:line="360" w:lineRule="exact"/>
        <w:ind w:left="0" w:firstLine="440"/>
        <w:jc w:val="both"/>
        <w:textAlignment w:val="bottom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售后问题供应商需在</w:t>
      </w:r>
      <w:r>
        <w:rPr>
          <w:rFonts w:ascii="宋体" w:hAnsi="宋体" w:cs="宋体" w:hint="eastAsia"/>
          <w:lang w:eastAsia="zh-CN"/>
        </w:rPr>
        <w:t>12</w:t>
      </w:r>
      <w:r>
        <w:rPr>
          <w:rFonts w:ascii="宋体" w:hAnsi="宋体" w:cs="宋体" w:hint="eastAsia"/>
          <w:lang w:eastAsia="zh-CN"/>
        </w:rPr>
        <w:t>小时内响应，</w:t>
      </w:r>
      <w:r>
        <w:rPr>
          <w:rFonts w:ascii="宋体" w:hAnsi="宋体" w:cs="宋体" w:hint="eastAsia"/>
          <w:lang w:eastAsia="zh-CN"/>
        </w:rPr>
        <w:t>24</w:t>
      </w:r>
      <w:r>
        <w:rPr>
          <w:rFonts w:ascii="宋体" w:hAnsi="宋体" w:cs="宋体" w:hint="eastAsia"/>
          <w:lang w:eastAsia="zh-CN"/>
        </w:rPr>
        <w:t>小时解决问题和采购人提出的合理要求。质保期间，在规定的售后服务响应时间内，供应商不能满足采购人合理要求的，采购人可以找第三方进行维修，其费用由供应商承担。</w:t>
      </w:r>
    </w:p>
    <w:p w:rsidR="00E33AF4" w:rsidRDefault="000A011E">
      <w:pPr>
        <w:adjustRightInd w:val="0"/>
        <w:snapToGrid w:val="0"/>
        <w:spacing w:line="360" w:lineRule="exact"/>
        <w:ind w:firstLine="440"/>
        <w:outlineLvl w:val="2"/>
      </w:pPr>
      <w:r>
        <w:rPr>
          <w:rFonts w:ascii="宋体" w:hAnsi="宋体" w:cs="宋体" w:hint="eastAsia"/>
          <w:sz w:val="22"/>
          <w:szCs w:val="22"/>
        </w:rPr>
        <w:t>本项目技术规格要求仅为采购人的基</w:t>
      </w:r>
      <w:r>
        <w:rPr>
          <w:rFonts w:ascii="宋体" w:hAnsi="宋体" w:cs="宋体" w:hint="eastAsia"/>
          <w:sz w:val="22"/>
          <w:szCs w:val="22"/>
        </w:rPr>
        <w:t>本要求，并未对所有技术细节做出规定，供货商作为专业的生产制造企业须按国际、国家有关标准及规范完成本次采购各类产品的制造与检验、供货、运输、安装、调试与通过有关部门验收、质保期服务、医用不锈钢制品终身维修等各项工作，并保证使用的寿命与可靠性。</w:t>
      </w:r>
    </w:p>
    <w:p w:rsidR="00E33AF4" w:rsidRDefault="000A011E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exact"/>
        <w:ind w:left="0" w:firstLine="440"/>
        <w:jc w:val="both"/>
        <w:textAlignment w:val="bottom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样品：提供序号</w:t>
      </w:r>
      <w:r>
        <w:rPr>
          <w:rFonts w:ascii="宋体" w:hAnsi="宋体" w:cs="宋体" w:hint="eastAsia"/>
          <w:lang w:eastAsia="zh-CN"/>
        </w:rPr>
        <w:t>2</w:t>
      </w:r>
      <w:r>
        <w:rPr>
          <w:rFonts w:ascii="宋体" w:hAnsi="宋体" w:cs="宋体" w:hint="eastAsia"/>
          <w:lang w:eastAsia="zh-CN"/>
        </w:rPr>
        <w:t>移动查房车</w:t>
      </w:r>
      <w:r>
        <w:rPr>
          <w:rFonts w:ascii="宋体" w:hAnsi="宋体" w:cs="宋体" w:hint="eastAsia"/>
          <w:lang w:eastAsia="zh-CN"/>
        </w:rPr>
        <w:t>*1</w:t>
      </w:r>
      <w:r>
        <w:rPr>
          <w:rFonts w:ascii="宋体" w:hAnsi="宋体" w:cs="宋体" w:hint="eastAsia"/>
          <w:lang w:eastAsia="zh-CN"/>
        </w:rPr>
        <w:t>辆，序号</w:t>
      </w:r>
      <w:r>
        <w:rPr>
          <w:rFonts w:ascii="宋体" w:hAnsi="宋体" w:cs="宋体" w:hint="eastAsia"/>
          <w:lang w:eastAsia="zh-CN"/>
        </w:rPr>
        <w:t>9</w:t>
      </w:r>
      <w:r>
        <w:rPr>
          <w:rFonts w:ascii="宋体" w:hAnsi="宋体" w:cs="宋体" w:hint="eastAsia"/>
          <w:lang w:eastAsia="zh-CN"/>
        </w:rPr>
        <w:t>多功能急救车</w:t>
      </w:r>
      <w:r>
        <w:rPr>
          <w:rFonts w:ascii="宋体" w:hAnsi="宋体" w:cs="宋体" w:hint="eastAsia"/>
          <w:lang w:eastAsia="zh-CN"/>
        </w:rPr>
        <w:t>*1</w:t>
      </w:r>
      <w:r>
        <w:rPr>
          <w:rFonts w:ascii="宋体" w:hAnsi="宋体" w:cs="宋体" w:hint="eastAsia"/>
          <w:lang w:eastAsia="zh-CN"/>
        </w:rPr>
        <w:t>辆。</w:t>
      </w:r>
    </w:p>
    <w:p w:rsidR="00E33AF4" w:rsidRDefault="00EF701B">
      <w:pPr>
        <w:pStyle w:val="10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line="360" w:lineRule="exact"/>
        <w:ind w:left="0" w:firstLine="440"/>
        <w:jc w:val="both"/>
        <w:textAlignment w:val="bottom"/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付款方式：根据实际到货数量分批</w:t>
      </w:r>
      <w:r w:rsidR="000A011E">
        <w:rPr>
          <w:rFonts w:ascii="宋体" w:hAnsi="宋体" w:cs="宋体" w:hint="eastAsia"/>
          <w:lang w:eastAsia="zh-CN"/>
        </w:rPr>
        <w:t>支付。</w:t>
      </w:r>
    </w:p>
    <w:p w:rsidR="00E33AF4" w:rsidRDefault="00E33AF4">
      <w:pPr>
        <w:pStyle w:val="10"/>
        <w:widowControl w:val="0"/>
        <w:autoSpaceDE w:val="0"/>
        <w:autoSpaceDN w:val="0"/>
        <w:adjustRightInd w:val="0"/>
        <w:snapToGrid w:val="0"/>
        <w:ind w:left="0" w:firstLine="480"/>
        <w:jc w:val="both"/>
        <w:textAlignment w:val="bottom"/>
        <w:rPr>
          <w:rFonts w:ascii="Times New Roman" w:hAnsi="Times New Roman" w:cs="宋体"/>
          <w:sz w:val="24"/>
          <w:szCs w:val="24"/>
          <w:lang w:eastAsia="zh-CN"/>
        </w:rPr>
      </w:pPr>
    </w:p>
    <w:p w:rsidR="00E33AF4" w:rsidRPr="00EF701B" w:rsidRDefault="00E33AF4" w:rsidP="00EF701B">
      <w:pPr>
        <w:pStyle w:val="10"/>
        <w:widowControl w:val="0"/>
        <w:autoSpaceDE w:val="0"/>
        <w:autoSpaceDN w:val="0"/>
        <w:adjustRightInd w:val="0"/>
        <w:snapToGrid w:val="0"/>
        <w:ind w:left="0" w:firstLine="440"/>
        <w:jc w:val="right"/>
        <w:textAlignment w:val="bottom"/>
        <w:rPr>
          <w:rFonts w:ascii="宋体" w:hAnsi="宋体" w:cs="宋体"/>
          <w:kern w:val="2"/>
          <w:lang w:eastAsia="zh-CN" w:bidi="ar-SA"/>
        </w:rPr>
        <w:sectPr w:rsidR="00E33AF4" w:rsidRPr="00EF701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33AF4" w:rsidRDefault="000A011E">
      <w:pPr>
        <w:numPr>
          <w:ilvl w:val="0"/>
          <w:numId w:val="2"/>
        </w:numPr>
        <w:adjustRightInd w:val="0"/>
        <w:snapToGrid w:val="0"/>
        <w:ind w:firstLineChars="0" w:firstLine="0"/>
        <w:outlineLvl w:val="1"/>
        <w:rPr>
          <w:rFonts w:asciiTheme="minorEastAsia" w:eastAsiaTheme="minorEastAsia" w:hAnsiTheme="minorEastAsia" w:cs="仿宋"/>
          <w:b/>
          <w:sz w:val="24"/>
        </w:rPr>
      </w:pPr>
      <w:r>
        <w:rPr>
          <w:rFonts w:asciiTheme="minorEastAsia" w:eastAsiaTheme="minorEastAsia" w:hAnsiTheme="minorEastAsia" w:cs="仿宋" w:hint="eastAsia"/>
          <w:b/>
          <w:sz w:val="24"/>
        </w:rPr>
        <w:lastRenderedPageBreak/>
        <w:t>采购内容及技术要求（规格、数量、参数、图片为参考，以实际确认为准）</w:t>
      </w:r>
    </w:p>
    <w:tbl>
      <w:tblPr>
        <w:tblW w:w="10790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726"/>
        <w:gridCol w:w="816"/>
        <w:gridCol w:w="927"/>
        <w:gridCol w:w="1659"/>
        <w:gridCol w:w="5954"/>
        <w:gridCol w:w="708"/>
      </w:tblGrid>
      <w:tr w:rsidR="00E33AF4" w:rsidTr="00013827">
        <w:trPr>
          <w:trHeight w:val="845"/>
          <w:tblHeader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360" w:lineRule="exact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360" w:lineRule="exact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品名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360" w:lineRule="exact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规格（长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高）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360" w:lineRule="exact"/>
              <w:ind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参考图片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360" w:lineRule="exact"/>
              <w:ind w:firstLine="40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参数（具体根据实际要求）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spacing w:line="360" w:lineRule="exact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数量</w:t>
            </w:r>
          </w:p>
        </w:tc>
      </w:tr>
      <w:tr w:rsidR="00E33AF4" w:rsidTr="00013827">
        <w:trPr>
          <w:trHeight w:val="523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多层移动治疗车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输液车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400*500*970mm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 wp14:anchorId="739E80EF" wp14:editId="22C53DC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509905</wp:posOffset>
                  </wp:positionV>
                  <wp:extent cx="738505" cy="995680"/>
                  <wp:effectExtent l="0" t="0" r="4445" b="0"/>
                  <wp:wrapNone/>
                  <wp:docPr id="81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  <w:bookmarkStart w:id="2" w:name="_GoBack"/>
            <w:bookmarkEnd w:id="2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碳钢喷塑；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）围栏：约φ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）三层结构；三层台面，台面安装三面围栏，各台面铺防滑垫；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）上层配置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只抽屉，抽高约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，加锁，抽屉导轨要求：配三节伸缩静音滑轨；抽屉内部：“积木式”物品分类装置（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）整车加强、加固处理。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）第一层侧方配置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个多功能置物盒兼容手消液盒，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个锐器盒架子；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）下台面配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）底部四周防撞包角。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</w:tr>
      <w:tr w:rsidR="00E33AF4" w:rsidTr="00013827">
        <w:trPr>
          <w:trHeight w:val="7084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移动查房车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620*520*1050mm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 wp14:anchorId="03DF8C9B" wp14:editId="3221C83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758825</wp:posOffset>
                  </wp:positionV>
                  <wp:extent cx="778510" cy="937260"/>
                  <wp:effectExtent l="0" t="0" r="2540" b="0"/>
                  <wp:wrapNone/>
                  <wp:docPr id="8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）外型尺寸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高）约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620*520*1050mm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）作业台面尺寸：约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480*460mm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）笔记本电脑仓尺寸：约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380*420*62mm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）台面、抽屉材质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碳钢喷塑；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）底座材质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碳钢喷塑；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）立柱材质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铝合金型材；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）整车材质耐受酒精、洗必泰、施康等医院常用消毒剂擦拭消毒。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）内底部通风设计；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）内有笔记本电脑垫托高架，适用于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14-17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寸笔记本电脑；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3)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第一层笔记本可锁；第二层键鼠托架：托架可滑出使用；配置鼠标垫，并可以左右抽出；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）设置外接电源插座；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）把手：设有前后把手，后把手（后把手可拆卸）；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）台面具备物体防滑挡条；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）升降尺寸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台面高度调节约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800-1050mm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个多功能置物盒兼容手消液盒。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</w:tr>
      <w:tr w:rsidR="00E33AF4" w:rsidTr="00013827">
        <w:trPr>
          <w:trHeight w:val="1134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仪器治疗车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EF701B">
            <w:pPr>
              <w:widowControl/>
              <w:ind w:firstLine="42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bdr w:val="single" w:sz="4" w:space="0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50A9868" wp14:editId="1285B0F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1064895</wp:posOffset>
                  </wp:positionV>
                  <wp:extent cx="962660" cy="1449070"/>
                  <wp:effectExtent l="0" t="0" r="8890" b="17780"/>
                  <wp:wrapNone/>
                  <wp:docPr id="16" name="图片 15" descr="169111790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16911179019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碳钢喷塑；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）立柱：约φ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25*1.2mm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）围栏：约φ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16*1.2mm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）工艺处理及要求：表面静电喷涂（除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ABS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外），外观美观平整、端正，表面无锋棱、毛刺。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）双层结构；台面安装三面围栏，各台面铺防滑垫，抽屉内置垫子；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）上层配置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只抽屉，抽高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，加锁，抽屉导轨要求配三节伸缩静音滑轨；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）整车加强、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加固处理。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）第一层侧方配置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个多功能置物盒兼容手消液盒，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个锐器盒架子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）车体四周安装防撞包角。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</w:tr>
      <w:tr w:rsidR="00E33AF4" w:rsidTr="00013827">
        <w:trPr>
          <w:trHeight w:val="1134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移动护理车Ⅰ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650*480*920mm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 wp14:anchorId="2DE3A045" wp14:editId="1088400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1696720</wp:posOffset>
                  </wp:positionV>
                  <wp:extent cx="800100" cy="904875"/>
                  <wp:effectExtent l="0" t="0" r="0" b="9525"/>
                  <wp:wrapNone/>
                  <wp:docPr id="8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碳钢喷塑；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）围栏：约φ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）立柱：铝合金；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）工艺处理及要求：表面静电喷涂（除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ABS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外），外观美观平整、端正，表面无锋棱、毛刺。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）带操作台板，四抽屉（带中控锁），其中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个小抽屉高度约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2-4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抽屉高度约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个抽屉高度约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，方便放置大件的物品；抽屉尺寸允许±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偏离，具体抽屉高度及排序根据实际需要配置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）抽屉可内置活动小隔断；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）抽屉导轨要求：配三节伸缩静音滑轨。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）车体左上方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个放杂物（洗手液等）置物盒，左下方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个翻盖垃圾桶。右上方锐器盒架子，右下方两个翻盖垃圾桶；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）底部四周防撞包角；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）内藏式模压成形一次性锁具，抽屉连锁。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、车体颜色：彩色，并提供多种色板备选。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</w:p>
        </w:tc>
      </w:tr>
      <w:tr w:rsidR="00E33AF4" w:rsidTr="00013827">
        <w:trPr>
          <w:trHeight w:val="463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有盖被服车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晨间护理车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1050*470*980mm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 wp14:anchorId="560DE30D" wp14:editId="6DCC49A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825500</wp:posOffset>
                  </wp:positionV>
                  <wp:extent cx="862330" cy="1019175"/>
                  <wp:effectExtent l="0" t="0" r="13970" b="9525"/>
                  <wp:wrapNone/>
                  <wp:docPr id="102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1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3AF4" w:rsidRDefault="000A011E">
            <w:pPr>
              <w:widowControl/>
              <w:numPr>
                <w:ilvl w:val="0"/>
                <w:numId w:val="3"/>
              </w:numPr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）主管材：约φ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25*1.2mm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）三层、一抽、一袋；各台面铺防滑垫，抽屉内置垫子；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）左侧第一层配置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只抽屉，抽高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，加锁，抽屉导轨要求配三节伸缩静音滑轨；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）整车加强、加固处理。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）污物袋上方配置盖板；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）污物袋材质为易于清洁、防缩水布料，配置两个污物袋以便更换；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）车体四周安装防撞包角。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10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50</w:t>
            </w:r>
          </w:p>
        </w:tc>
      </w:tr>
      <w:tr w:rsidR="00E33AF4" w:rsidTr="00013827">
        <w:trPr>
          <w:trHeight w:val="5239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注射车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EF701B">
            <w:pPr>
              <w:widowControl/>
              <w:ind w:firstLine="42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bdr w:val="single" w:sz="4" w:space="0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1319282" wp14:editId="75CE6A2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2036445</wp:posOffset>
                  </wp:positionV>
                  <wp:extent cx="941070" cy="735330"/>
                  <wp:effectExtent l="0" t="0" r="11430" b="7620"/>
                  <wp:wrapNone/>
                  <wp:docPr id="4" name="图片 1" descr="2fe380f77b50cb900b229a6375f47a41_0111532521b04ecc9093f008ef1dd5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fe380f77b50cb900b229a6375f47a41_0111532521b04ecc9093f008ef1dd58f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3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ACB4DB6" wp14:editId="3470F63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270510</wp:posOffset>
                  </wp:positionV>
                  <wp:extent cx="993140" cy="929640"/>
                  <wp:effectExtent l="0" t="0" r="16510" b="3810"/>
                  <wp:wrapNone/>
                  <wp:docPr id="3" name="图片 2" descr="16497481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1649748102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不锈板喷塑；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）围栏：约φ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）立柱：铝合金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）工艺处理及要求：表面静电喷涂（除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ABS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外），外观美观平整、端正，表面无锋棱、毛刺。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）五抽（连锁），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抽需满足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格活动药格，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抽屉可以选配活动药格条，任意分隔。具体抽屉高度及排序根据实际需要配置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）抽屉导轨要求：配三节伸缩静音滑轨。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）车体左上方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个放杂物（洗手液等）置物盒，左下方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个翻盖垃圾桶。右上方锐器盒架子，右下方两个翻盖垃圾桶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(2)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台面铺防滑垫，抽屉内置垫子；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）底部四周防撞包角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）内藏式模压成形一次性锁具，抽屉连锁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</w:tr>
      <w:tr w:rsidR="00E33AF4" w:rsidTr="00013827">
        <w:trPr>
          <w:trHeight w:val="5239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病历夹车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405*420*870mm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 wp14:anchorId="6CA17CAE" wp14:editId="0A3918F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709295</wp:posOffset>
                  </wp:positionV>
                  <wp:extent cx="828675" cy="914400"/>
                  <wp:effectExtent l="0" t="0" r="9525" b="0"/>
                  <wp:wrapNone/>
                  <wp:docPr id="99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1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优质合金铝经高温静电喷涂立柱；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）表面经高温静电喷涂；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）工艺处理及要求：表面静电喷涂（除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ABS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外），外观美观平整、端正，表面无锋棱、毛刺。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）两层结构，一抽、单列病历格；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）抽屉带中控锁，抽屉导轨要求配三节伸缩静音滑轨；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）单列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格（每格可插放一个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A4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纸张规格大小的病历夹），防病历夹滑出装置，单排贴数字标示条。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、车体四周安装防撞包角。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个多功能置物盒兼容手消液盒，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个小翻盖垃圾桶；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）台面铺防滑垫，抽屉内置垫子。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</w:tr>
      <w:tr w:rsidR="00E33AF4" w:rsidTr="00013827">
        <w:trPr>
          <w:trHeight w:val="5299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移动护理车Ⅱ（口服药车）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650*500*970mm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 wp14:anchorId="4B7FC260" wp14:editId="7F50C65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967105</wp:posOffset>
                  </wp:positionV>
                  <wp:extent cx="786765" cy="821055"/>
                  <wp:effectExtent l="0" t="0" r="13335" b="17145"/>
                  <wp:wrapNone/>
                  <wp:docPr id="106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1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 wp14:anchorId="58D7211F" wp14:editId="501E90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74085" cy="80010"/>
                  <wp:effectExtent l="0" t="0" r="0" b="0"/>
                  <wp:wrapNone/>
                  <wp:docPr id="91" name="图片_1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_SpCnt_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085" cy="8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18"/>
                <w:szCs w:val="18"/>
                <w:bdr w:val="single" w:sz="4" w:space="0" w:color="000000"/>
              </w:rPr>
              <w:drawing>
                <wp:anchor distT="0" distB="0" distL="114300" distR="114300" simplePos="0" relativeHeight="251666432" behindDoc="0" locked="0" layoutInCell="1" allowOverlap="1" wp14:anchorId="3FA51F6C" wp14:editId="3CB359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74085" cy="80010"/>
                  <wp:effectExtent l="0" t="0" r="0" b="0"/>
                  <wp:wrapNone/>
                  <wp:docPr id="100" name="图片_1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1_SpCnt_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085" cy="8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不锈板喷塑；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）围栏：约φ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）立柱：铝合金；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）工艺处理及要求：外观美观平整、端正，表面无锋棱、毛刺。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）五抽（带锁），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抽需满足多格活动药格，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抽屉可以选配活动药格条，任意分隔。具体抽屉高度及排序根据实际需要配置；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）抽屉导轨要求：配三节伸缩静音滑轨。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个双轴承全塑万向医疗级静音轮，带脚踏刹车装置，防卷发。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）车体左上方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个放杂物（洗手液等）置物盒，左下方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个翻盖垃圾桶。右上方锐器盒架子，右下方两个翻盖垃圾桶；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 xml:space="preserve"> (2)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台面铺防滑垫，抽屉内置垫子；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）底部四周防撞包角；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）内藏式模压成形一次性锁具，抽屉连锁。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</w:tr>
      <w:tr w:rsidR="00E33AF4" w:rsidTr="00013827">
        <w:trPr>
          <w:trHeight w:val="7493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多功能急救车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700*550*1000mm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>
            <w:pPr>
              <w:widowControl/>
              <w:ind w:firstLine="400"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7456" behindDoc="0" locked="0" layoutInCell="1" allowOverlap="1" wp14:anchorId="476E7012" wp14:editId="72CE47C4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2357755</wp:posOffset>
                  </wp:positionV>
                  <wp:extent cx="866775" cy="885825"/>
                  <wp:effectExtent l="0" t="0" r="9525" b="9525"/>
                  <wp:wrapNone/>
                  <wp:docPr id="9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 wp14:anchorId="6EA41340" wp14:editId="2783719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357505</wp:posOffset>
                  </wp:positionV>
                  <wp:extent cx="678180" cy="993775"/>
                  <wp:effectExtent l="0" t="0" r="7620" b="15875"/>
                  <wp:wrapNone/>
                  <wp:docPr id="108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1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69504" behindDoc="0" locked="0" layoutInCell="1" allowOverlap="1" wp14:anchorId="78A89021" wp14:editId="75AE34A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474085" cy="80010"/>
                  <wp:effectExtent l="0" t="0" r="0" b="0"/>
                  <wp:wrapNone/>
                  <wp:docPr id="90" name="图片_1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1_SpCnt_1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085" cy="8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0528" behindDoc="0" locked="0" layoutInCell="1" allowOverlap="1" wp14:anchorId="3725DB08" wp14:editId="425093F4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127000</wp:posOffset>
                  </wp:positionV>
                  <wp:extent cx="3405505" cy="80010"/>
                  <wp:effectExtent l="0" t="0" r="0" b="0"/>
                  <wp:wrapNone/>
                  <wp:docPr id="101" name="图片_1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1_SpCnt_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505" cy="8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、规格：（长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高）：外径约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700*550*1000mm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，柜体尺寸约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650*500*1000mm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）主材材质：≥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不锈板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轻型合金铝材料表面经高温静电喷涂；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）围栏：约φ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不锈钢圆管；管材电抛光工艺；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）材质耐受酒精、洗必泰、施康等医院常用消毒剂擦拭消毒；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）工艺处理及要求：外观美观平整、端正，表面无锋棱、毛刺。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）侧面延伸操作台面×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，可伸缩；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）抽屉×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，带锁，上面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个抽屉高度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5mm,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最下面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个抽屉高度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5mm.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方便放置大件的物品，里面斗尺寸约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548*425mm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配置活动隔板，可自由组合分格，底部铺有网格防滑垫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。具体抽屉高度及排序根据实际需要配置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）抽屉导轨要求：配三节伸缩静音滑轨。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br/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、脚轮：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个双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轴承全塑万向医疗级静音轮，带脚踏刹车装置，防卷发。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、其他配置：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）车体左上方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个放杂物（洗手液等）置物盒，不锈钢储物篮×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；左下方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个翻盖垃圾桶。右上方锐器盒架子，右下方两个翻盖垃圾桶，右侧不锈钢氧气瓶（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4L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）挂架×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，背部：不锈钢升降四勾输液杆×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、电源插座组×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CPR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抢救板×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，除颤仪支架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）台面铺防滑垫；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）底部四周防撞包角；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）内藏式模压成形一次性锁具，抽屉连锁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）各抽屉外贴标示条（预备多个，以防遗失）；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）按科室需求药品抽屉考虑避光、斜放装置细节；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）物品分类装置的材质必须为“铝合金”或“不锈钢”（为避免长期使用老化、断裂，不允许使用各种塑料材质）。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、车体颜色：彩色；并提供多种色板备选。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、后期零星可按需定制尺寸与增加功能。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方形污物车</w:t>
            </w:r>
          </w:p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（带盖）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00*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bdr w:val="single" w:sz="4" w:space="0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848CD83" wp14:editId="0C00D43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725805</wp:posOffset>
                  </wp:positionV>
                  <wp:extent cx="820420" cy="894715"/>
                  <wp:effectExtent l="0" t="0" r="17780" b="635"/>
                  <wp:wrapNone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2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不锈钢，整体电抛光工艺；主管材≥φ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25*1.2mm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结构款式：带盖，底部整板；四周围栏；单侧把手；整车加强、加固处理。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除承重轮、污物袋外，全车材料（含辅件）均采用国标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万向轮：≥φ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聚胺脂双轴承静音角轮，防卷发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其他配置：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）配铝合金喷涂盖板×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，与车身一体；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）污物袋材质为易于清洁、防缩水布料，每车配置两个污物袋以便更换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）车体四周安装防撞包角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工艺要求：氩弧焊接，外观美观平整、端正，整车无锋棱、毛刺；表面磨砂（拉丝）面处理。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80</w:t>
            </w:r>
          </w:p>
        </w:tc>
      </w:tr>
      <w:tr w:rsidR="00E33AF4" w:rsidTr="00013827">
        <w:trPr>
          <w:trHeight w:val="1588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平板车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900*600*900mm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="40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1552" behindDoc="0" locked="0" layoutInCell="1" allowOverlap="1" wp14:anchorId="16D9E93F" wp14:editId="40D5D04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118745</wp:posOffset>
                  </wp:positionV>
                  <wp:extent cx="758825" cy="724535"/>
                  <wp:effectExtent l="0" t="0" r="3175" b="0"/>
                  <wp:wrapNone/>
                  <wp:docPr id="95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、主体结构：单层，平板式。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、主体材质：国标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，主管材≥φ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25*1.2mm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、万向脚轮：φ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聚胺脂双轴承承重静音轮，防卷发，承重≥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100Kg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平板车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Ⅱ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0*600*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="40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bdr w:val="single" w:sz="4" w:space="0" w:color="00000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0"/>
                <w:szCs w:val="20"/>
                <w:bdr w:val="single" w:sz="4" w:space="0" w:color="000000"/>
              </w:rPr>
              <w:drawing>
                <wp:anchor distT="0" distB="0" distL="114300" distR="114300" simplePos="0" relativeHeight="251672576" behindDoc="0" locked="0" layoutInCell="1" allowOverlap="1" wp14:anchorId="65A33A8F" wp14:editId="420A5DD6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123190</wp:posOffset>
                  </wp:positionV>
                  <wp:extent cx="809625" cy="904875"/>
                  <wp:effectExtent l="0" t="0" r="9525" b="9525"/>
                  <wp:wrapNone/>
                  <wp:docPr id="2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、主体结构：单层，平板式。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、主体材质：国标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，主管材≥φ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25*1.2mm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、万向脚轮：φ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聚胺脂双轴承承重静音轮，防卷发，承重≥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100Kg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敷料打包台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2000*700*850mm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bdr w:val="single" w:sz="4" w:space="0" w:color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2BEA513" wp14:editId="06CF84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323850</wp:posOffset>
                  </wp:positionV>
                  <wp:extent cx="885190" cy="493395"/>
                  <wp:effectExtent l="0" t="0" r="10160" b="1905"/>
                  <wp:wrapNone/>
                  <wp:docPr id="38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4933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、单层双抽，带灯。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、工艺要求：氩弧焊接，外观美观平整、端正，整柜无锋棱、毛刺；表面磨砂（拉丝）处理。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器械存放柜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900*400*1800mm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21DB77E" wp14:editId="2915508A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506730</wp:posOffset>
                  </wp:positionV>
                  <wp:extent cx="664210" cy="975995"/>
                  <wp:effectExtent l="0" t="0" r="2540" b="14605"/>
                  <wp:wrapNone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97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、结构款式：双开玻璃门（门框为双层复合式铆接安装，便于更换玻璃），五层，内置四块不锈钢活动搁板可任意调节高度，带地脚（离地间隙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）；整柜加强、加固处理。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、材质要求：除门玻璃及抽屉导轨外，整柜材料（含辅件）均采用国标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不锈钢；玻璃门框及柜门板材厚度≥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；其余板材厚度≥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；主框架壁厚≥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配置：柜门配置两块钢化玻璃，长宽与门框配套。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工艺要求：氩弧焊接，外观美观平整、端正，整柜无锋棱、毛刺；表面磨砂（拉丝）处理。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器械存放架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1200*450*1800mm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1BF89F6" wp14:editId="1C1C755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752475" cy="991870"/>
                  <wp:effectExtent l="0" t="0" r="9525" b="17780"/>
                  <wp:wrapNone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规格：四层，每层间距符合无菌物品存放规范要求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主材规格：主管材φ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研磨拉丝管，框架管材：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研磨拉丝管，每层排条管材：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研磨拉丝管，排条间距≤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、万向轮：聚胺酯双轴承静音脚轮，防卷发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器械存放架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Ⅱ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（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加深款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1200*600*1800mm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ACD5AD4" wp14:editId="0322258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-3810</wp:posOffset>
                  </wp:positionV>
                  <wp:extent cx="868045" cy="1140460"/>
                  <wp:effectExtent l="0" t="0" r="8255" b="2540"/>
                  <wp:wrapNone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114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规格：四层，每层间距符合无菌物品存放规范要求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主材规格：主管材φ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研磨拉丝管，框架管材：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研磨拉丝管，每层排条管材：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研磨拉丝管，排条间距≤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、万向轮：聚胺酯双轴承静音脚轮，防卷发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17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无菌物品室内转运车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800*500*1600mm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0073DFB" wp14:editId="40E1A30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87630</wp:posOffset>
                  </wp:positionV>
                  <wp:extent cx="633095" cy="988060"/>
                  <wp:effectExtent l="0" t="0" r="14605" b="2540"/>
                  <wp:wrapNone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规格：五层、每层均配三面围栏，四层棒料网格层板、底层为整板。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，整体电抛光工艺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万向轮：聚胺酯双轴承静音脚轮，防卷发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一次性库房货架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1200*450*1800mm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B37E9AF" wp14:editId="1B0CA38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144780</wp:posOffset>
                  </wp:positionV>
                  <wp:extent cx="741680" cy="865505"/>
                  <wp:effectExtent l="0" t="0" r="1270" b="10795"/>
                  <wp:wrapNone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80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规格：五层，每层间距符合无菌物品存放规范要求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主材规格：主管材φ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研磨拉丝管，框架管材：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研磨拉丝管，每层排条管材：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研磨拉丝管，排条间距≤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30mm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、万向轮：聚胺酯双轴承静音脚轮，防卷发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大液体分类转运车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900*600*850mm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EE99043" wp14:editId="7150329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226695</wp:posOffset>
                  </wp:positionV>
                  <wp:extent cx="905510" cy="656590"/>
                  <wp:effectExtent l="0" t="0" r="8890" b="10160"/>
                  <wp:wrapNone/>
                  <wp:docPr id="42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65659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磨砂不锈钢。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、两个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寸大轮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两个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寸万向轮。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手术器械台三件套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一套包括大中小号各一个（详见参数）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CB23D1A" wp14:editId="4CDECB5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598170</wp:posOffset>
                  </wp:positionV>
                  <wp:extent cx="925195" cy="752475"/>
                  <wp:effectExtent l="0" t="0" r="8255" b="9525"/>
                  <wp:wrapNone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、规格：大号单层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，中号单层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860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，小号双层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、结构款式：单层顶板；整车加强、加固处理。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、材质要求：除承重轮外，全车材料（含辅件）均采用国标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不锈钢；顶板板材厚度≥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；主框架壁厚≥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、承重轮配置：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的静音双轴承万向轮（同向两轮带刹车装置）。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、工艺要求：上、下台面均为内凹式一次模压成型，台面为双层复合式；氩弧焊接，外观美观平整、端正，整车无锋棱、毛刺；表面磨砂（拉丝）处理；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手术器械台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700*450*850mm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A2C7C1D" wp14:editId="37A22965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417195</wp:posOffset>
                  </wp:positionV>
                  <wp:extent cx="710565" cy="812800"/>
                  <wp:effectExtent l="0" t="0" r="13335" b="6350"/>
                  <wp:wrapNone/>
                  <wp:docPr id="39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812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、结构款式：两层结构；上下台面三周均设小围栏，台面到围栏高度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；带把手；整车加强、加固处理。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、材质要求：除承重轮外，全车材料（含辅件）均采用国标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不锈钢；层面板材厚度≥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；主框架壁厚≥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、承重轮配置：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只全塑φ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静音双轴承万向轮（同向两轮带刹车装置），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个防撞圆盘，防卷发。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、工艺要求：上、下台面为内凹式一次模压成型，台面为双层复合式；氩弧焊接，外观美观平整、端正，整车无锋棱、毛刺；表面磨砂（拉丝）处理；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手术器械台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（托盘架）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600*400*800/1200mm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31ADEC2" wp14:editId="18E094D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180340</wp:posOffset>
                  </wp:positionV>
                  <wp:extent cx="806450" cy="1025525"/>
                  <wp:effectExtent l="0" t="0" r="12700" b="3175"/>
                  <wp:wrapNone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: 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气动式单杆升降、插入式。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；主管材：φ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、气动装置：为确保手术器械的安全使用，即升高时托盘受力直接调节，降低时手动气压解锁装置；托盘可在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900mm-1250mm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区间任意高度止停。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、工艺要求：托盘为一次成型；氩弧焊接，外观美观平整、端正，整车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无锋棱、毛刺；表面磨砂（拉丝）处理。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lastRenderedPageBreak/>
              <w:t>20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手术器械台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（托盘架）双杆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800*400*800/1200mm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ABBBAB3" wp14:editId="0EF64BC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210185</wp:posOffset>
                  </wp:positionV>
                  <wp:extent cx="879475" cy="883285"/>
                  <wp:effectExtent l="0" t="0" r="15875" b="12065"/>
                  <wp:wrapNone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: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单层、双杆、可升降，台面到围栏高度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磨砂不锈钢。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研磨拉丝管。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万向轮：全塑φ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双轴承静音脚轮，防卷发。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小治疗车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450*350*850mm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9C50627" wp14:editId="3689D43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118110</wp:posOffset>
                  </wp:positionV>
                  <wp:extent cx="735965" cy="942975"/>
                  <wp:effectExtent l="0" t="0" r="6985" b="9525"/>
                  <wp:wrapNone/>
                  <wp:docPr id="41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9429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、直管围栏、双层、一抽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、万向轮：全塑φ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双轴承静音脚轮，承重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100Kg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，防卷发、静电、生锈等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个防撞圆盘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、抽屉导轨：优质静音伸缩导轨。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污染器械运转车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1100*600*900mm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0A032B3" wp14:editId="7CC5F79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183515</wp:posOffset>
                  </wp:positionV>
                  <wp:extent cx="995045" cy="913130"/>
                  <wp:effectExtent l="0" t="0" r="14605" b="1270"/>
                  <wp:wrapNone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主体结构：双门，柜内一层活动层板，高度防尘，整车需进大型清洗机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主体材质：国标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磨砂不锈钢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脚轮：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寸平顶静音万向轮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手术圆凳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E33AF4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1B8FBCE" wp14:editId="40A0E97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78740</wp:posOffset>
                  </wp:positionV>
                  <wp:extent cx="882650" cy="1052830"/>
                  <wp:effectExtent l="0" t="0" r="12700" b="13970"/>
                  <wp:wrapNone/>
                  <wp:docPr id="4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105283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、规格：四腿弯管底架，凳面防静电为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PU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面一体压模成型、带透气孔、防滑底脚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内藏式旋转丝杆。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80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组合式脚凳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500*280*150mm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829A66A" wp14:editId="70E21A1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328930</wp:posOffset>
                  </wp:positionV>
                  <wp:extent cx="917575" cy="482600"/>
                  <wp:effectExtent l="0" t="0" r="15875" b="12700"/>
                  <wp:wrapNone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、规格：不锈钢模压防滑面，双层复合式，无孔式层叠。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主材规格：板材厚度≥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包布回收车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800*600*800/900mm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D0F6EEC" wp14:editId="441F1EB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270510</wp:posOffset>
                  </wp:positionV>
                  <wp:extent cx="923290" cy="718185"/>
                  <wp:effectExtent l="0" t="0" r="10160" b="5715"/>
                  <wp:wrapNone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规格：底部整板四周围栏，配双袋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布盖。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主材规格：管材厚度≥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带φ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承重脚轮。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29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污物车（圆形被服车）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600*800mm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8EB0BAD" wp14:editId="6C2BF5F0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55245</wp:posOffset>
                  </wp:positionV>
                  <wp:extent cx="887730" cy="1025525"/>
                  <wp:effectExtent l="0" t="0" r="7620" b="3175"/>
                  <wp:wrapNone/>
                  <wp:docPr id="32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规格：圆形带盖，带固定塑料袋卡、整体电抛光工艺，底部为平底，每车标配双袋。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不锈钢。污物袋材质为易于清洁、防缩水布料。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万向轮：φ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聚胺脂双轴承承重轮，承重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100Kg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，防卷发。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垃圾分装污物车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Ⅰ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（床尾桶）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600*600*850mm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D86EF65" wp14:editId="6C9AF59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150495</wp:posOffset>
                  </wp:positionV>
                  <wp:extent cx="890905" cy="993140"/>
                  <wp:effectExtent l="0" t="0" r="4445" b="16510"/>
                  <wp:wrapNone/>
                  <wp:docPr id="36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9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规格：带盖，带固定塑料袋卡、整体电抛光工艺，底部为平底，每车标配双袋。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不锈钢。污物袋材质为易于清洁、防缩水布料。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主材规格：主管材：φ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万向轮：φ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聚胺脂双轴承承重轮，承重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100Kg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，防卷发。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垃圾分装车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  <w:lang w:bidi="ar"/>
              </w:rPr>
              <w:t>Ⅱ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950*450*950mm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FCCA475" wp14:editId="38CDE7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411480</wp:posOffset>
                  </wp:positionV>
                  <wp:extent cx="889000" cy="792480"/>
                  <wp:effectExtent l="0" t="0" r="6350" b="7620"/>
                  <wp:wrapNone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、结构款式：左右方环，可分双袋安装，带盖；整车加强、加固处理。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材质要求：除承重轮、污物袋外，全车材料（含辅件）均采用国标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不锈钢；主框架壁厚≥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承重轮配置：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的静音双轴承万向轮（同向两轮带刹车装置）。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配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只不同颜色的污物袋，污物袋材质须为易于清洁，防缩水的布料，投标人提供多款布料备选。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配置：每车配多个上口污物袋卡具。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工艺要求：氩弧焊接，外观美观平整、端正，整车无锋棱、毛刺；表面磨砂（拉丝）面处理。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氧气瓶推车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E33AF4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E25FA06" wp14:editId="21F58E4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38100</wp:posOffset>
                  </wp:positionV>
                  <wp:extent cx="949960" cy="1070610"/>
                  <wp:effectExtent l="0" t="0" r="2540" b="15240"/>
                  <wp:wrapNone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、主材规格：板材厚度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、主管材：φ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×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、万向轮：φ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聚胺酯双轴承静音脚轮，防卷发＋φ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150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工业承重轮。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、放瓶与不放瓶都要立起。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、有固定用铁皮（替代链条使用）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E33AF4" w:rsidTr="00013827">
        <w:trPr>
          <w:trHeight w:val="1827"/>
        </w:trPr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111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left="113"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危化品柜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ind w:firstLineChars="0" w:firstLine="0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500*500*2000mm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 w:rsidP="00EF701B">
            <w:pPr>
              <w:widowControl/>
              <w:ind w:firstLine="420"/>
              <w:jc w:val="center"/>
              <w:textAlignment w:val="center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645FE1F4" wp14:editId="4D6C35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921385" cy="753745"/>
                  <wp:effectExtent l="0" t="0" r="12065" b="8255"/>
                  <wp:wrapNone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、规格：双门，五层，内部四块不锈钢层板可任意调节高度，双锁。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、材质：国标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SUS304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不锈钢，门板提供多种色系选择。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</w:t>
            </w:r>
          </w:p>
          <w:p w:rsidR="00E33AF4" w:rsidRDefault="000A011E">
            <w:pPr>
              <w:widowControl/>
              <w:spacing w:line="240" w:lineRule="auto"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、主材规格：门板厚度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1.2mm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  <w:lang w:bidi="ar"/>
              </w:rPr>
              <w:t>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33AF4" w:rsidRDefault="000A011E" w:rsidP="00013827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</w:tr>
      <w:bookmarkEnd w:id="0"/>
      <w:bookmarkEnd w:id="1"/>
    </w:tbl>
    <w:p w:rsidR="00E33AF4" w:rsidRDefault="00E33AF4">
      <w:pPr>
        <w:pStyle w:val="a4"/>
        <w:ind w:firstLine="210"/>
      </w:pPr>
    </w:p>
    <w:sectPr w:rsidR="00E33A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11E" w:rsidRDefault="000A011E">
      <w:pPr>
        <w:spacing w:line="240" w:lineRule="auto"/>
        <w:ind w:firstLine="420"/>
      </w:pPr>
      <w:r>
        <w:separator/>
      </w:r>
    </w:p>
  </w:endnote>
  <w:endnote w:type="continuationSeparator" w:id="0">
    <w:p w:rsidR="000A011E" w:rsidRDefault="000A011E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AF4" w:rsidRDefault="00E33AF4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AF4" w:rsidRPr="00EF701B" w:rsidRDefault="00E33AF4" w:rsidP="00EF701B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AF4" w:rsidRDefault="00E33AF4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11E" w:rsidRDefault="000A011E">
      <w:pPr>
        <w:ind w:firstLine="420"/>
      </w:pPr>
      <w:r>
        <w:separator/>
      </w:r>
    </w:p>
  </w:footnote>
  <w:footnote w:type="continuationSeparator" w:id="0">
    <w:p w:rsidR="000A011E" w:rsidRDefault="000A011E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AF4" w:rsidRDefault="00E33AF4">
    <w:pPr>
      <w:pStyle w:val="a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AF4" w:rsidRDefault="00E33AF4">
    <w:pPr>
      <w:pStyle w:val="a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AF4" w:rsidRDefault="00E33AF4">
    <w:pPr>
      <w:pStyle w:val="a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9589FA"/>
    <w:multiLevelType w:val="singleLevel"/>
    <w:tmpl w:val="B09589FA"/>
    <w:lvl w:ilvl="0">
      <w:start w:val="6"/>
      <w:numFmt w:val="decimal"/>
      <w:suff w:val="nothing"/>
      <w:lvlText w:val="%1、"/>
      <w:lvlJc w:val="left"/>
    </w:lvl>
  </w:abstractNum>
  <w:abstractNum w:abstractNumId="1">
    <w:nsid w:val="F9426D37"/>
    <w:multiLevelType w:val="singleLevel"/>
    <w:tmpl w:val="F9426D3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DC448DC"/>
    <w:multiLevelType w:val="singleLevel"/>
    <w:tmpl w:val="1DC448DC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2NTJkY2E1NjgxN2M3ZWZkMjM5MjViZDQ0ZTFlOGEifQ=="/>
  </w:docVars>
  <w:rsids>
    <w:rsidRoot w:val="006869AA"/>
    <w:rsid w:val="00013827"/>
    <w:rsid w:val="000962B3"/>
    <w:rsid w:val="000A011E"/>
    <w:rsid w:val="000C73E4"/>
    <w:rsid w:val="000E6CCB"/>
    <w:rsid w:val="0015588C"/>
    <w:rsid w:val="001A01F4"/>
    <w:rsid w:val="001A7B63"/>
    <w:rsid w:val="001C478B"/>
    <w:rsid w:val="002673B3"/>
    <w:rsid w:val="002D25DF"/>
    <w:rsid w:val="00301BBA"/>
    <w:rsid w:val="00311F7E"/>
    <w:rsid w:val="003741CA"/>
    <w:rsid w:val="003F5356"/>
    <w:rsid w:val="00406200"/>
    <w:rsid w:val="00434DF7"/>
    <w:rsid w:val="00445C00"/>
    <w:rsid w:val="004942A7"/>
    <w:rsid w:val="005311E7"/>
    <w:rsid w:val="006651FA"/>
    <w:rsid w:val="00670024"/>
    <w:rsid w:val="006869AA"/>
    <w:rsid w:val="00692976"/>
    <w:rsid w:val="00696A3D"/>
    <w:rsid w:val="00770658"/>
    <w:rsid w:val="007736A3"/>
    <w:rsid w:val="00776713"/>
    <w:rsid w:val="007A768D"/>
    <w:rsid w:val="007B371C"/>
    <w:rsid w:val="00824E41"/>
    <w:rsid w:val="00830840"/>
    <w:rsid w:val="008D7058"/>
    <w:rsid w:val="008F775A"/>
    <w:rsid w:val="0091002E"/>
    <w:rsid w:val="009D3B46"/>
    <w:rsid w:val="00A05CBE"/>
    <w:rsid w:val="00A34FA6"/>
    <w:rsid w:val="00A36E21"/>
    <w:rsid w:val="00B8315A"/>
    <w:rsid w:val="00BB0194"/>
    <w:rsid w:val="00BB3367"/>
    <w:rsid w:val="00BC48B8"/>
    <w:rsid w:val="00C122F8"/>
    <w:rsid w:val="00C23871"/>
    <w:rsid w:val="00CA778E"/>
    <w:rsid w:val="00D73DEB"/>
    <w:rsid w:val="00D8655D"/>
    <w:rsid w:val="00DB513B"/>
    <w:rsid w:val="00DD6947"/>
    <w:rsid w:val="00E320B0"/>
    <w:rsid w:val="00E33AF4"/>
    <w:rsid w:val="00E44186"/>
    <w:rsid w:val="00E65008"/>
    <w:rsid w:val="00EA7F4E"/>
    <w:rsid w:val="00EE140C"/>
    <w:rsid w:val="00EF701B"/>
    <w:rsid w:val="02934AAB"/>
    <w:rsid w:val="03631481"/>
    <w:rsid w:val="05377706"/>
    <w:rsid w:val="063B7789"/>
    <w:rsid w:val="06FF6FEF"/>
    <w:rsid w:val="09CA5FDA"/>
    <w:rsid w:val="0D6B3C05"/>
    <w:rsid w:val="0DF13198"/>
    <w:rsid w:val="0EC26F77"/>
    <w:rsid w:val="0F9F2542"/>
    <w:rsid w:val="10505F32"/>
    <w:rsid w:val="12790A83"/>
    <w:rsid w:val="15002B1B"/>
    <w:rsid w:val="177D09E2"/>
    <w:rsid w:val="192449E3"/>
    <w:rsid w:val="192B4065"/>
    <w:rsid w:val="1A3F2AFB"/>
    <w:rsid w:val="1A7D2861"/>
    <w:rsid w:val="1C221DDB"/>
    <w:rsid w:val="1DB53269"/>
    <w:rsid w:val="20EB23BA"/>
    <w:rsid w:val="231D4468"/>
    <w:rsid w:val="23791A1E"/>
    <w:rsid w:val="266D36F4"/>
    <w:rsid w:val="26C56568"/>
    <w:rsid w:val="28E519FE"/>
    <w:rsid w:val="296A19BB"/>
    <w:rsid w:val="29A538D7"/>
    <w:rsid w:val="2BBA0A64"/>
    <w:rsid w:val="2E00676D"/>
    <w:rsid w:val="306C0986"/>
    <w:rsid w:val="30CE1CCC"/>
    <w:rsid w:val="310624DE"/>
    <w:rsid w:val="311900DB"/>
    <w:rsid w:val="31A5546E"/>
    <w:rsid w:val="33052C52"/>
    <w:rsid w:val="33F26C2B"/>
    <w:rsid w:val="344858E4"/>
    <w:rsid w:val="35E80200"/>
    <w:rsid w:val="36846DC5"/>
    <w:rsid w:val="36CD2132"/>
    <w:rsid w:val="390E770D"/>
    <w:rsid w:val="397F1CB6"/>
    <w:rsid w:val="3E4214A4"/>
    <w:rsid w:val="3ED52DAC"/>
    <w:rsid w:val="3F1F76E8"/>
    <w:rsid w:val="4019244A"/>
    <w:rsid w:val="41655BB5"/>
    <w:rsid w:val="422D416D"/>
    <w:rsid w:val="45265DDE"/>
    <w:rsid w:val="467955A3"/>
    <w:rsid w:val="468D4E2F"/>
    <w:rsid w:val="487F7E51"/>
    <w:rsid w:val="48991123"/>
    <w:rsid w:val="49B82B2F"/>
    <w:rsid w:val="4AB32D6A"/>
    <w:rsid w:val="4C082C41"/>
    <w:rsid w:val="4C5F48C8"/>
    <w:rsid w:val="4D6646BE"/>
    <w:rsid w:val="4D7A680B"/>
    <w:rsid w:val="4DF1434C"/>
    <w:rsid w:val="4E5D6C47"/>
    <w:rsid w:val="4E7E1B8B"/>
    <w:rsid w:val="4F781DAB"/>
    <w:rsid w:val="514F4F2B"/>
    <w:rsid w:val="534C1DEF"/>
    <w:rsid w:val="5AC36760"/>
    <w:rsid w:val="5F1220C7"/>
    <w:rsid w:val="603927BF"/>
    <w:rsid w:val="61DB25EA"/>
    <w:rsid w:val="627F4C95"/>
    <w:rsid w:val="64AB76F6"/>
    <w:rsid w:val="65694555"/>
    <w:rsid w:val="68B30CED"/>
    <w:rsid w:val="69F67644"/>
    <w:rsid w:val="6A2936EA"/>
    <w:rsid w:val="6A5C4B7C"/>
    <w:rsid w:val="6B300FD5"/>
    <w:rsid w:val="6C316AD3"/>
    <w:rsid w:val="6C802B30"/>
    <w:rsid w:val="6CEA59D5"/>
    <w:rsid w:val="6E4C60A3"/>
    <w:rsid w:val="6EEA6F00"/>
    <w:rsid w:val="71334F55"/>
    <w:rsid w:val="725B146D"/>
    <w:rsid w:val="72E83B37"/>
    <w:rsid w:val="73F27BAF"/>
    <w:rsid w:val="759D1ACA"/>
    <w:rsid w:val="77CC4844"/>
    <w:rsid w:val="78AC303D"/>
    <w:rsid w:val="79242E47"/>
    <w:rsid w:val="797156AF"/>
    <w:rsid w:val="7A2168C0"/>
    <w:rsid w:val="7AB60418"/>
    <w:rsid w:val="7BE814DF"/>
    <w:rsid w:val="7FAD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6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autoRedefine/>
    <w:qFormat/>
    <w:pPr>
      <w:keepNext/>
      <w:keepLines/>
      <w:ind w:firstLineChars="0" w:firstLine="0"/>
      <w:outlineLvl w:val="1"/>
    </w:pPr>
    <w:rPr>
      <w:rFonts w:ascii="Cambria" w:hAnsi="Cambria"/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autoRedefine/>
    <w:qFormat/>
    <w:pPr>
      <w:adjustRightInd w:val="0"/>
      <w:spacing w:line="315" w:lineRule="atLeast"/>
      <w:ind w:firstLineChars="0" w:firstLine="0"/>
      <w:jc w:val="left"/>
    </w:pPr>
    <w:rPr>
      <w:rFonts w:ascii="仿宋_GB2312" w:eastAsia="仿宋_GB2312"/>
      <w:kern w:val="0"/>
      <w:sz w:val="28"/>
      <w:szCs w:val="20"/>
    </w:rPr>
  </w:style>
  <w:style w:type="paragraph" w:styleId="a4">
    <w:name w:val="Body Text First Indent"/>
    <w:basedOn w:val="a0"/>
    <w:next w:val="6"/>
    <w:autoRedefine/>
    <w:qFormat/>
    <w:pPr>
      <w:adjustRightInd/>
      <w:spacing w:after="120" w:line="240" w:lineRule="auto"/>
      <w:ind w:firstLineChars="100" w:firstLine="420"/>
      <w:jc w:val="both"/>
    </w:pPr>
    <w:rPr>
      <w:rFonts w:ascii="Times New Roman"/>
      <w:kern w:val="2"/>
      <w:sz w:val="21"/>
      <w:szCs w:val="24"/>
    </w:rPr>
  </w:style>
  <w:style w:type="paragraph" w:styleId="6">
    <w:name w:val="toc 6"/>
    <w:basedOn w:val="a"/>
    <w:next w:val="a"/>
    <w:autoRedefine/>
    <w:qFormat/>
    <w:pPr>
      <w:spacing w:line="240" w:lineRule="auto"/>
      <w:ind w:left="1050" w:firstLineChars="0" w:firstLine="0"/>
      <w:jc w:val="left"/>
    </w:pPr>
    <w:rPr>
      <w:szCs w:val="21"/>
    </w:rPr>
  </w:style>
  <w:style w:type="paragraph" w:styleId="a5">
    <w:name w:val="annotation text"/>
    <w:basedOn w:val="a"/>
    <w:link w:val="Char"/>
    <w:autoRedefine/>
    <w:qFormat/>
    <w:pPr>
      <w:jc w:val="left"/>
    </w:pPr>
  </w:style>
  <w:style w:type="paragraph" w:styleId="a6">
    <w:name w:val="Balloon Text"/>
    <w:basedOn w:val="a"/>
    <w:link w:val="Char0"/>
    <w:autoRedefine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9">
    <w:name w:val="annotation subject"/>
    <w:basedOn w:val="a5"/>
    <w:next w:val="a5"/>
    <w:link w:val="Char1"/>
    <w:autoRedefine/>
    <w:qFormat/>
    <w:rPr>
      <w:b/>
      <w:bCs/>
    </w:rPr>
  </w:style>
  <w:style w:type="character" w:styleId="aa">
    <w:name w:val="page number"/>
    <w:basedOn w:val="a1"/>
    <w:autoRedefine/>
    <w:qFormat/>
  </w:style>
  <w:style w:type="character" w:styleId="ab">
    <w:name w:val="annotation reference"/>
    <w:basedOn w:val="a1"/>
    <w:autoRedefine/>
    <w:qFormat/>
    <w:rPr>
      <w:sz w:val="21"/>
      <w:szCs w:val="21"/>
    </w:rPr>
  </w:style>
  <w:style w:type="character" w:customStyle="1" w:styleId="font11">
    <w:name w:val="font11"/>
    <w:basedOn w:val="a1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1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0">
    <w:name w:val="批注框文本 Char"/>
    <w:basedOn w:val="a1"/>
    <w:link w:val="a6"/>
    <w:autoRedefine/>
    <w:qFormat/>
    <w:rPr>
      <w:kern w:val="2"/>
      <w:sz w:val="18"/>
      <w:szCs w:val="18"/>
    </w:rPr>
  </w:style>
  <w:style w:type="character" w:customStyle="1" w:styleId="Char">
    <w:name w:val="批注文字 Char"/>
    <w:basedOn w:val="a1"/>
    <w:link w:val="a5"/>
    <w:autoRedefine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9"/>
    <w:autoRedefine/>
    <w:qFormat/>
    <w:rPr>
      <w:b/>
      <w:bCs/>
      <w:kern w:val="2"/>
      <w:sz w:val="21"/>
      <w:szCs w:val="24"/>
    </w:rPr>
  </w:style>
  <w:style w:type="paragraph" w:customStyle="1" w:styleId="10">
    <w:name w:val="列出段落1"/>
    <w:basedOn w:val="a"/>
    <w:autoRedefine/>
    <w:qFormat/>
    <w:pPr>
      <w:widowControl/>
      <w:ind w:left="720" w:firstLine="360"/>
      <w:contextualSpacing/>
      <w:jc w:val="left"/>
    </w:pPr>
    <w:rPr>
      <w:rFonts w:ascii="Calibri" w:hAnsi="Calibri"/>
      <w:kern w:val="0"/>
      <w:sz w:val="22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6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jc w:val="center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autoRedefine/>
    <w:qFormat/>
    <w:pPr>
      <w:keepNext/>
      <w:keepLines/>
      <w:ind w:firstLineChars="0" w:firstLine="0"/>
      <w:outlineLvl w:val="1"/>
    </w:pPr>
    <w:rPr>
      <w:rFonts w:ascii="Cambria" w:hAnsi="Cambria"/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autoRedefine/>
    <w:qFormat/>
    <w:pPr>
      <w:adjustRightInd w:val="0"/>
      <w:spacing w:line="315" w:lineRule="atLeast"/>
      <w:ind w:firstLineChars="0" w:firstLine="0"/>
      <w:jc w:val="left"/>
    </w:pPr>
    <w:rPr>
      <w:rFonts w:ascii="仿宋_GB2312" w:eastAsia="仿宋_GB2312"/>
      <w:kern w:val="0"/>
      <w:sz w:val="28"/>
      <w:szCs w:val="20"/>
    </w:rPr>
  </w:style>
  <w:style w:type="paragraph" w:styleId="a4">
    <w:name w:val="Body Text First Indent"/>
    <w:basedOn w:val="a0"/>
    <w:next w:val="6"/>
    <w:autoRedefine/>
    <w:qFormat/>
    <w:pPr>
      <w:adjustRightInd/>
      <w:spacing w:after="120" w:line="240" w:lineRule="auto"/>
      <w:ind w:firstLineChars="100" w:firstLine="420"/>
      <w:jc w:val="both"/>
    </w:pPr>
    <w:rPr>
      <w:rFonts w:ascii="Times New Roman"/>
      <w:kern w:val="2"/>
      <w:sz w:val="21"/>
      <w:szCs w:val="24"/>
    </w:rPr>
  </w:style>
  <w:style w:type="paragraph" w:styleId="6">
    <w:name w:val="toc 6"/>
    <w:basedOn w:val="a"/>
    <w:next w:val="a"/>
    <w:autoRedefine/>
    <w:qFormat/>
    <w:pPr>
      <w:spacing w:line="240" w:lineRule="auto"/>
      <w:ind w:left="1050" w:firstLineChars="0" w:firstLine="0"/>
      <w:jc w:val="left"/>
    </w:pPr>
    <w:rPr>
      <w:szCs w:val="21"/>
    </w:rPr>
  </w:style>
  <w:style w:type="paragraph" w:styleId="a5">
    <w:name w:val="annotation text"/>
    <w:basedOn w:val="a"/>
    <w:link w:val="Char"/>
    <w:autoRedefine/>
    <w:qFormat/>
    <w:pPr>
      <w:jc w:val="left"/>
    </w:pPr>
  </w:style>
  <w:style w:type="paragraph" w:styleId="a6">
    <w:name w:val="Balloon Text"/>
    <w:basedOn w:val="a"/>
    <w:link w:val="Char0"/>
    <w:autoRedefine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8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9">
    <w:name w:val="annotation subject"/>
    <w:basedOn w:val="a5"/>
    <w:next w:val="a5"/>
    <w:link w:val="Char1"/>
    <w:autoRedefine/>
    <w:qFormat/>
    <w:rPr>
      <w:b/>
      <w:bCs/>
    </w:rPr>
  </w:style>
  <w:style w:type="character" w:styleId="aa">
    <w:name w:val="page number"/>
    <w:basedOn w:val="a1"/>
    <w:autoRedefine/>
    <w:qFormat/>
  </w:style>
  <w:style w:type="character" w:styleId="ab">
    <w:name w:val="annotation reference"/>
    <w:basedOn w:val="a1"/>
    <w:autoRedefine/>
    <w:qFormat/>
    <w:rPr>
      <w:sz w:val="21"/>
      <w:szCs w:val="21"/>
    </w:rPr>
  </w:style>
  <w:style w:type="character" w:customStyle="1" w:styleId="font11">
    <w:name w:val="font11"/>
    <w:basedOn w:val="a1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1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Char0">
    <w:name w:val="批注框文本 Char"/>
    <w:basedOn w:val="a1"/>
    <w:link w:val="a6"/>
    <w:autoRedefine/>
    <w:qFormat/>
    <w:rPr>
      <w:kern w:val="2"/>
      <w:sz w:val="18"/>
      <w:szCs w:val="18"/>
    </w:rPr>
  </w:style>
  <w:style w:type="character" w:customStyle="1" w:styleId="Char">
    <w:name w:val="批注文字 Char"/>
    <w:basedOn w:val="a1"/>
    <w:link w:val="a5"/>
    <w:autoRedefine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9"/>
    <w:autoRedefine/>
    <w:qFormat/>
    <w:rPr>
      <w:b/>
      <w:bCs/>
      <w:kern w:val="2"/>
      <w:sz w:val="21"/>
      <w:szCs w:val="24"/>
    </w:rPr>
  </w:style>
  <w:style w:type="paragraph" w:customStyle="1" w:styleId="10">
    <w:name w:val="列出段落1"/>
    <w:basedOn w:val="a"/>
    <w:autoRedefine/>
    <w:qFormat/>
    <w:pPr>
      <w:widowControl/>
      <w:ind w:left="720" w:firstLine="360"/>
      <w:contextualSpacing/>
      <w:jc w:val="left"/>
    </w:pPr>
    <w:rPr>
      <w:rFonts w:ascii="Calibri" w:hAnsi="Calibri"/>
      <w:kern w:val="0"/>
      <w:sz w:val="22"/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1386</Words>
  <Characters>7903</Characters>
  <Application>Microsoft Office Word</Application>
  <DocSecurity>0</DocSecurity>
  <Lines>65</Lines>
  <Paragraphs>18</Paragraphs>
  <ScaleCrop>false</ScaleCrop>
  <Company/>
  <LinksUpToDate>false</LinksUpToDate>
  <CharactersWithSpaces>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</dc:creator>
  <cp:lastModifiedBy>wl</cp:lastModifiedBy>
  <cp:revision>16</cp:revision>
  <cp:lastPrinted>2024-02-20T02:57:00Z</cp:lastPrinted>
  <dcterms:created xsi:type="dcterms:W3CDTF">2023-08-25T00:20:00Z</dcterms:created>
  <dcterms:modified xsi:type="dcterms:W3CDTF">2024-02-20T07:04:00Z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1021DAB219054639ACB7C9F0D2B60859</vt:lpwstr>
  </property>
</Properties>
</file>