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60"/>
        <w:gridCol w:w="1935"/>
        <w:gridCol w:w="8376"/>
      </w:tblGrid>
      <w:tr w:rsidR="008918BE" w:rsidTr="00184E21">
        <w:trPr>
          <w:trHeight w:val="604"/>
        </w:trPr>
        <w:tc>
          <w:tcPr>
            <w:tcW w:w="1251" w:type="pct"/>
            <w:gridSpan w:val="2"/>
          </w:tcPr>
          <w:p w:rsidR="008918BE" w:rsidRDefault="00184E21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</w:tcPr>
          <w:p w:rsidR="008918BE" w:rsidRPr="00635FFD" w:rsidRDefault="00B3119E" w:rsidP="00635FFD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30"/>
                <w:szCs w:val="30"/>
              </w:rPr>
            </w:pPr>
            <w:r>
              <w:rPr>
                <w:rFonts w:asciiTheme="majorEastAsia" w:eastAsiaTheme="majorEastAsia" w:hAnsiTheme="majorEastAsia"/>
                <w:b/>
                <w:sz w:val="30"/>
                <w:szCs w:val="30"/>
              </w:rPr>
              <w:t>智能恒温冷藏设备</w:t>
            </w:r>
          </w:p>
        </w:tc>
      </w:tr>
      <w:tr w:rsidR="008918BE" w:rsidTr="00184E21">
        <w:trPr>
          <w:trHeight w:val="604"/>
        </w:trPr>
        <w:tc>
          <w:tcPr>
            <w:tcW w:w="1251" w:type="pct"/>
            <w:gridSpan w:val="2"/>
          </w:tcPr>
          <w:p w:rsidR="008918BE" w:rsidRDefault="00184E21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8918BE" w:rsidRPr="00635FFD" w:rsidRDefault="00635FFD" w:rsidP="00635FFD">
            <w:pPr>
              <w:jc w:val="center"/>
              <w:rPr>
                <w:b/>
                <w:sz w:val="30"/>
                <w:szCs w:val="30"/>
              </w:rPr>
            </w:pPr>
            <w:r w:rsidRPr="00635FFD">
              <w:rPr>
                <w:b/>
                <w:sz w:val="30"/>
                <w:szCs w:val="30"/>
              </w:rPr>
              <w:t>临床试验机构管理办公室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 w:firstLineChars="1600" w:firstLine="3855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 w:rsidR="00635FF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 w:rsidR="00635FFD" w:rsidRPr="00635FF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用于临床试验机构的药品试验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规格：立式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箱体内部采用高密度发泡材质，具有重量轻、保温性能好等特点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微电脑温度控制器，数码显示，具有高低温报警、温感器故障报警和断电报警功能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精准温感探头，自动显示箱体内部温度、湿度，便于随时观察箱体内温湿度变化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采用专业风道设计，高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钢快速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风扇，厚壁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快速导冷铜管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，温度精准度高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制冷系统合理，采用强制空气循环，确保箱体内恒温无死角。降温速度快，设定的温度在短时间里，即可达到设置温度要求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门体选用LOW-E中空电加热玻璃，冷热恒温，低温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凝露，保温效果好，透明度高，便于随时观察箱体内部存放的物品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采用优质全封闭压缩机，运转平衡，噪音低，使用寿命长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</w:t>
            </w:r>
          </w:p>
        </w:tc>
        <w:tc>
          <w:tcPr>
            <w:tcW w:w="4615" w:type="pct"/>
            <w:gridSpan w:val="2"/>
          </w:tcPr>
          <w:p w:rsidR="008918BE" w:rsidRDefault="00635FFD" w:rsidP="0047063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箱体采用烤漆冷轧钢板，经喷涂工艺，表面色泽柔和，内部隔层可任意放宽和缩小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箱体内部具备照明设施，方便夜间观察储存的物品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可配置安全双门锁，实现双人双管，防止随意开启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  <w:shd w:val="clear" w:color="auto" w:fill="FFFFFF"/>
              </w:rPr>
              <w:t>底部选用优质万向承载脚轮, 承重量大，具有止动装置，使用方便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容量：≥800L</w:t>
            </w:r>
          </w:p>
        </w:tc>
      </w:tr>
      <w:tr w:rsidR="00635FFD" w:rsidTr="00184E21">
        <w:trPr>
          <w:trHeight w:val="287"/>
        </w:trPr>
        <w:tc>
          <w:tcPr>
            <w:tcW w:w="385" w:type="pct"/>
          </w:tcPr>
          <w:p w:rsidR="00635FFD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</w:t>
            </w:r>
          </w:p>
        </w:tc>
        <w:tc>
          <w:tcPr>
            <w:tcW w:w="4615" w:type="pct"/>
            <w:gridSpan w:val="2"/>
          </w:tcPr>
          <w:p w:rsidR="00635FFD" w:rsidRDefault="00635FFD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温度控制范围2～48℃,均匀度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±0.5℃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，波动度≤±</w:t>
            </w:r>
            <w:r w:rsidR="00F201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℃</w:t>
            </w:r>
          </w:p>
        </w:tc>
      </w:tr>
      <w:tr w:rsidR="00635FFD" w:rsidTr="00184E21">
        <w:trPr>
          <w:trHeight w:val="287"/>
        </w:trPr>
        <w:tc>
          <w:tcPr>
            <w:tcW w:w="385" w:type="pct"/>
          </w:tcPr>
          <w:p w:rsidR="00635FFD" w:rsidRDefault="00635FFD" w:rsidP="00635FF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</w:p>
        </w:tc>
        <w:tc>
          <w:tcPr>
            <w:tcW w:w="4615" w:type="pct"/>
            <w:gridSpan w:val="2"/>
          </w:tcPr>
          <w:p w:rsidR="00635FFD" w:rsidRDefault="00635FFD">
            <w:pPr>
              <w:ind w:rightChars="-162" w:right="-3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湿度控制范围45～75%RH，均匀度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≤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±2.5%RH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，波动度≤</w:t>
            </w:r>
            <w:r w:rsidR="0054005F" w:rsidRP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±</w:t>
            </w:r>
            <w:r w:rsidR="0054005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54005F" w:rsidRPr="0054005F">
              <w:rPr>
                <w:rFonts w:ascii="宋体" w:eastAsia="宋体" w:hAnsi="宋体" w:cs="宋体"/>
                <w:kern w:val="0"/>
                <w:sz w:val="24"/>
                <w:szCs w:val="24"/>
              </w:rPr>
              <w:t>%RH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恒温恒湿箱主机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1台</w:t>
            </w:r>
          </w:p>
        </w:tc>
      </w:tr>
      <w:tr w:rsidR="008918BE" w:rsidTr="00184E21">
        <w:trPr>
          <w:trHeight w:val="287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  <w:szCs w:val="24"/>
              </w:rPr>
              <w:t>隔板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4块</w:t>
            </w:r>
          </w:p>
        </w:tc>
      </w:tr>
      <w:tr w:rsidR="008918BE" w:rsidTr="00184E21">
        <w:trPr>
          <w:trHeight w:val="308"/>
        </w:trPr>
        <w:tc>
          <w:tcPr>
            <w:tcW w:w="385" w:type="pct"/>
          </w:tcPr>
          <w:p w:rsidR="008918BE" w:rsidRDefault="00635FFD" w:rsidP="00635FFD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8918BE" w:rsidRDefault="00635FFD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远程温度、湿度监控系统1套</w:t>
            </w:r>
          </w:p>
        </w:tc>
      </w:tr>
      <w:tr w:rsidR="008918BE" w:rsidTr="00184E21">
        <w:trPr>
          <w:trHeight w:val="308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918BE" w:rsidTr="00184E21">
        <w:trPr>
          <w:trHeight w:val="308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医疗器械注册证、生产许可证、营业执照、出厂质检合格证明</w:t>
            </w:r>
          </w:p>
        </w:tc>
      </w:tr>
      <w:tr w:rsidR="008918BE" w:rsidTr="00184E21">
        <w:trPr>
          <w:trHeight w:val="308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</w:p>
        </w:tc>
      </w:tr>
      <w:tr w:rsidR="008918BE" w:rsidTr="00184E21">
        <w:trPr>
          <w:trHeight w:val="562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保修期≥</w:t>
            </w:r>
            <w:r w:rsidR="00635FFD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年，设备全生命周期内提供零配件及维修服务，维修24小时内响应，系统软件终生免费升级</w:t>
            </w:r>
          </w:p>
        </w:tc>
      </w:tr>
      <w:tr w:rsidR="008918BE" w:rsidTr="00184E21">
        <w:trPr>
          <w:trHeight w:val="321"/>
        </w:trPr>
        <w:tc>
          <w:tcPr>
            <w:tcW w:w="385" w:type="pct"/>
          </w:tcPr>
          <w:p w:rsidR="008918BE" w:rsidRDefault="00184E21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:rsidR="008918BE" w:rsidRDefault="00184E21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交货期：合同签订后按医院要求供货，接到医院送货通知后1个月内进行设备安装、调试和验收</w:t>
            </w:r>
          </w:p>
        </w:tc>
      </w:tr>
    </w:tbl>
    <w:p w:rsidR="008918BE" w:rsidRDefault="008918BE">
      <w:pPr>
        <w:spacing w:line="360" w:lineRule="auto"/>
        <w:rPr>
          <w:sz w:val="24"/>
          <w:szCs w:val="24"/>
          <w:u w:val="single"/>
        </w:rPr>
      </w:pPr>
    </w:p>
    <w:sectPr w:rsidR="00891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01" w:rsidRDefault="00D51D01" w:rsidP="00635FFD">
      <w:r>
        <w:separator/>
      </w:r>
    </w:p>
  </w:endnote>
  <w:endnote w:type="continuationSeparator" w:id="0">
    <w:p w:rsidR="00D51D01" w:rsidRDefault="00D51D01" w:rsidP="006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01" w:rsidRDefault="00D51D01" w:rsidP="00635FFD">
      <w:r>
        <w:separator/>
      </w:r>
    </w:p>
  </w:footnote>
  <w:footnote w:type="continuationSeparator" w:id="0">
    <w:p w:rsidR="00D51D01" w:rsidRDefault="00D51D01" w:rsidP="0063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010843"/>
    <w:rsid w:val="00184E21"/>
    <w:rsid w:val="001B08B0"/>
    <w:rsid w:val="003E5BD2"/>
    <w:rsid w:val="0047063D"/>
    <w:rsid w:val="0054005F"/>
    <w:rsid w:val="00635FFD"/>
    <w:rsid w:val="008918BE"/>
    <w:rsid w:val="00AA3ACF"/>
    <w:rsid w:val="00B3119E"/>
    <w:rsid w:val="00D51D01"/>
    <w:rsid w:val="00F1392F"/>
    <w:rsid w:val="00F201C4"/>
    <w:rsid w:val="00F53C93"/>
    <w:rsid w:val="06CC6306"/>
    <w:rsid w:val="07A70F85"/>
    <w:rsid w:val="099077F7"/>
    <w:rsid w:val="1ADC4941"/>
    <w:rsid w:val="24303C58"/>
    <w:rsid w:val="28331C1B"/>
    <w:rsid w:val="2EE34571"/>
    <w:rsid w:val="38A03D8B"/>
    <w:rsid w:val="397F500E"/>
    <w:rsid w:val="4AFB588F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FFD"/>
    <w:rPr>
      <w:kern w:val="2"/>
      <w:sz w:val="18"/>
      <w:szCs w:val="18"/>
    </w:rPr>
  </w:style>
  <w:style w:type="paragraph" w:styleId="a5">
    <w:name w:val="footer"/>
    <w:basedOn w:val="a"/>
    <w:link w:val="Char0"/>
    <w:rsid w:val="00635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5F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5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5FFD"/>
    <w:rPr>
      <w:kern w:val="2"/>
      <w:sz w:val="18"/>
      <w:szCs w:val="18"/>
    </w:rPr>
  </w:style>
  <w:style w:type="paragraph" w:styleId="a5">
    <w:name w:val="footer"/>
    <w:basedOn w:val="a"/>
    <w:link w:val="Char0"/>
    <w:rsid w:val="00635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5F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12</cp:revision>
  <dcterms:created xsi:type="dcterms:W3CDTF">2023-10-19T02:31:00Z</dcterms:created>
  <dcterms:modified xsi:type="dcterms:W3CDTF">2024-02-27T06:55:00Z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D28F971A2C4D4FBC9F608AF614499520_11</vt:lpwstr>
  </property>
</Properties>
</file>