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9" w:rsidRDefault="004074CE">
      <w:pPr>
        <w:spacing w:beforeLines="50" w:before="156" w:afterLines="50" w:after="156"/>
        <w:ind w:firstLineChars="200" w:firstLine="562"/>
        <w:jc w:val="center"/>
        <w:outlineLvl w:val="0"/>
        <w:rPr>
          <w:rFonts w:asciiTheme="minorEastAsia" w:eastAsiaTheme="minorEastAsia" w:hAnsiTheme="minorEastAsia" w:cs="仿宋"/>
          <w:b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sz w:val="28"/>
          <w:szCs w:val="28"/>
        </w:rPr>
        <w:t>莫干山院区尸体冷藏柜采购需求</w:t>
      </w:r>
    </w:p>
    <w:p w:rsidR="00685E49" w:rsidRDefault="004074CE">
      <w:pPr>
        <w:spacing w:beforeLines="50" w:before="156" w:afterLines="50" w:after="156"/>
        <w:jc w:val="left"/>
        <w:outlineLvl w:val="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一、采购内容</w:t>
      </w:r>
    </w:p>
    <w:tbl>
      <w:tblPr>
        <w:tblStyle w:val="ac"/>
        <w:tblW w:w="9309" w:type="dxa"/>
        <w:tblLook w:val="04A0" w:firstRow="1" w:lastRow="0" w:firstColumn="1" w:lastColumn="0" w:noHBand="0" w:noVBand="1"/>
      </w:tblPr>
      <w:tblGrid>
        <w:gridCol w:w="1476"/>
        <w:gridCol w:w="5284"/>
        <w:gridCol w:w="2549"/>
      </w:tblGrid>
      <w:tr w:rsidR="00685E49">
        <w:trPr>
          <w:trHeight w:val="621"/>
        </w:trPr>
        <w:tc>
          <w:tcPr>
            <w:tcW w:w="1476" w:type="dxa"/>
            <w:vAlign w:val="center"/>
          </w:tcPr>
          <w:p w:rsidR="00685E49" w:rsidRDefault="004074C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4"/>
              </w:rPr>
            </w:pPr>
            <w:bookmarkStart w:id="0" w:name="_Toc6413851"/>
            <w:bookmarkStart w:id="1" w:name="_Toc533024070"/>
            <w:bookmarkStart w:id="2" w:name="_Toc495609857"/>
            <w:r>
              <w:rPr>
                <w:rFonts w:asciiTheme="minorEastAsia" w:eastAsiaTheme="minorEastAsia" w:hAnsiTheme="minorEastAsia" w:cs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5284" w:type="dxa"/>
            <w:vAlign w:val="center"/>
          </w:tcPr>
          <w:p w:rsidR="00685E49" w:rsidRDefault="004074C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szCs w:val="24"/>
              </w:rPr>
              <w:t>规格参数</w:t>
            </w:r>
          </w:p>
        </w:tc>
        <w:tc>
          <w:tcPr>
            <w:tcW w:w="2549" w:type="dxa"/>
            <w:vAlign w:val="center"/>
          </w:tcPr>
          <w:p w:rsidR="00685E49" w:rsidRDefault="004074C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szCs w:val="24"/>
              </w:rPr>
              <w:t>示意图</w:t>
            </w:r>
          </w:p>
        </w:tc>
      </w:tr>
      <w:tr w:rsidR="00685E49">
        <w:trPr>
          <w:trHeight w:val="10332"/>
        </w:trPr>
        <w:tc>
          <w:tcPr>
            <w:tcW w:w="1476" w:type="dxa"/>
            <w:vAlign w:val="center"/>
          </w:tcPr>
          <w:p w:rsidR="00685E49" w:rsidRDefault="004074CE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尸体冷藏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冷冻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柜，</w:t>
            </w:r>
            <w:r>
              <w:rPr>
                <w:rFonts w:asciiTheme="minorEastAsia" w:eastAsiaTheme="minorEastAsia" w:hAnsiTheme="minorEastAsia" w:cs="仿宋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组）</w:t>
            </w:r>
          </w:p>
        </w:tc>
        <w:tc>
          <w:tcPr>
            <w:tcW w:w="5284" w:type="dxa"/>
          </w:tcPr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、机组制冷形式：直冷式。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、柜体外形尺寸：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2200*1000*1850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mm)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，内径：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2000*670*450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）。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、门面材质：不锈钢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0.8mm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厚度。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、外壳与内胆：外壳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0.8mm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不锈钢板、内胆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0.6mm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不锈钢制作。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、保温层：聚氨酯整体发泡成形，保温层厚度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100mm,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注射量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45kg/m3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、柜底框架：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8#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槽钢。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、托板（托盘式）：不锈钢管（含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3-4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根支撑横档），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1.5cm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*25mm*25mm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方管；不锈钢板，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0.8mm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厚，尺寸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1910mm*570mm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、导轨及滑轮：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导轨：δ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=2.5mm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不锈钢板折弯成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U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型；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滑轮：ф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=25mm*25mm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铜制滑轮。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、门锁、铰链：合金长柄门锁及铰链。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、蒸发器、毛细管：ф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=12mm*0.9mm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T2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）紫铜管弯制排管形式，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3*1.2mm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毛细管。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、冷凝器：风冷式翘片紫铜管冷凝器。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、挡板：骨架两侧加装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200mm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高不锈钢挡板。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、温控器：采用微电脑温度控制器，控制精确，温度显示清晰。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、压缩机：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3/4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匹全封闭压缩机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套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220V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、柜门密封条：磁力封条。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、制冷剂：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F22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、制冷温度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:32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℃标准工况箱内制冷温度，满足控制在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-6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℃—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℃。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、门框加热除霜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配置门框加热除霜装置，使用安全电压。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、提供冷冻设备针对本项目的不少于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年原厂商售后服务承诺函（须加盖原厂商公章）。</w:t>
            </w:r>
          </w:p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、本项目所涉及的人工费、安装费等一切费用都需包含在总价中。</w:t>
            </w:r>
          </w:p>
        </w:tc>
        <w:tc>
          <w:tcPr>
            <w:tcW w:w="2549" w:type="dxa"/>
          </w:tcPr>
          <w:p w:rsidR="00685E49" w:rsidRDefault="004074CE">
            <w:pPr>
              <w:pStyle w:val="a5"/>
              <w:spacing w:line="240" w:lineRule="auto"/>
              <w:rPr>
                <w:rFonts w:asciiTheme="minorEastAsia" w:eastAsiaTheme="minorEastAsia" w:hAnsiTheme="minorEastAsia" w:cs="仿宋"/>
                <w:b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2484755</wp:posOffset>
                  </wp:positionV>
                  <wp:extent cx="1145540" cy="1963420"/>
                  <wp:effectExtent l="0" t="0" r="0" b="0"/>
                  <wp:wrapTopAndBottom/>
                  <wp:docPr id="2" name="图片 2" descr="ST-3具尸体冷冻柜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ST-3具尸体冷冻柜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7323" t="13598" r="22588" b="9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5E49" w:rsidRDefault="004074CE">
      <w:pPr>
        <w:pStyle w:val="3"/>
        <w:spacing w:beforeLines="50" w:before="156" w:afterLines="50" w:after="156"/>
        <w:rPr>
          <w:rFonts w:ascii="宋体" w:hAnsi="宋体" w:cs="宋体"/>
          <w:sz w:val="22"/>
          <w:szCs w:val="22"/>
        </w:rPr>
      </w:pPr>
      <w:bookmarkStart w:id="3" w:name="_Toc493957135"/>
      <w:bookmarkStart w:id="4" w:name="_Toc493956023"/>
      <w:bookmarkStart w:id="5" w:name="_Toc500339524"/>
      <w:bookmarkStart w:id="6" w:name="_Toc486423873"/>
      <w:bookmarkStart w:id="7" w:name="_Toc509501580"/>
      <w:bookmarkStart w:id="8" w:name="_Toc504480238"/>
      <w:r>
        <w:rPr>
          <w:rFonts w:ascii="宋体" w:hAnsi="宋体" w:hint="eastAsia"/>
          <w:sz w:val="22"/>
          <w:szCs w:val="22"/>
        </w:rPr>
        <w:t>二、商务</w:t>
      </w:r>
      <w:bookmarkEnd w:id="3"/>
      <w:bookmarkEnd w:id="4"/>
      <w:bookmarkEnd w:id="5"/>
      <w:bookmarkEnd w:id="6"/>
      <w:bookmarkEnd w:id="7"/>
      <w:bookmarkEnd w:id="8"/>
      <w:r>
        <w:rPr>
          <w:rFonts w:ascii="宋体" w:hAnsi="宋体" w:hint="eastAsia"/>
          <w:sz w:val="22"/>
          <w:szCs w:val="22"/>
        </w:rPr>
        <w:t>要求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尸体冷冻设备正常使用寿命</w:t>
      </w:r>
      <w:r>
        <w:rPr>
          <w:rFonts w:ascii="宋体" w:hAnsi="宋体" w:cs="宋体" w:hint="eastAsia"/>
          <w:sz w:val="22"/>
          <w:szCs w:val="22"/>
        </w:rPr>
        <w:t>20</w:t>
      </w:r>
      <w:r>
        <w:rPr>
          <w:rFonts w:ascii="宋体" w:hAnsi="宋体" w:cs="宋体" w:hint="eastAsia"/>
          <w:sz w:val="22"/>
          <w:szCs w:val="22"/>
        </w:rPr>
        <w:t>年以上，</w:t>
      </w:r>
      <w:r>
        <w:rPr>
          <w:rFonts w:ascii="宋体" w:hAnsi="宋体" w:hint="eastAsia"/>
          <w:kern w:val="0"/>
          <w:sz w:val="22"/>
          <w:szCs w:val="22"/>
        </w:rPr>
        <w:t>整体</w:t>
      </w:r>
      <w:r>
        <w:rPr>
          <w:rFonts w:ascii="宋体" w:hAnsi="宋体" w:hint="eastAsia"/>
          <w:kern w:val="0"/>
          <w:sz w:val="22"/>
          <w:szCs w:val="22"/>
        </w:rPr>
        <w:t>质保≥</w:t>
      </w:r>
      <w:r>
        <w:rPr>
          <w:rFonts w:ascii="宋体" w:hAnsi="宋体" w:hint="eastAsia"/>
          <w:kern w:val="0"/>
          <w:sz w:val="22"/>
          <w:szCs w:val="22"/>
        </w:rPr>
        <w:t>2</w:t>
      </w:r>
      <w:r>
        <w:rPr>
          <w:rFonts w:ascii="宋体" w:hAnsi="宋体" w:hint="eastAsia"/>
          <w:kern w:val="0"/>
          <w:sz w:val="22"/>
          <w:szCs w:val="22"/>
        </w:rPr>
        <w:t>年。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售后技术服务要求：提供产品保修卡，并按厂家产品规定保修期限及内容以及</w:t>
      </w:r>
      <w:r>
        <w:rPr>
          <w:rFonts w:ascii="宋体" w:hAnsi="宋体" w:hint="eastAsia"/>
          <w:kern w:val="0"/>
          <w:sz w:val="22"/>
          <w:szCs w:val="22"/>
        </w:rPr>
        <w:lastRenderedPageBreak/>
        <w:t>供应商的其它承诺条款实行保修，出现故障后</w:t>
      </w:r>
      <w:r>
        <w:rPr>
          <w:rFonts w:ascii="宋体" w:hAnsi="宋体" w:hint="eastAsia"/>
          <w:kern w:val="0"/>
          <w:sz w:val="22"/>
          <w:szCs w:val="22"/>
        </w:rPr>
        <w:t>1</w:t>
      </w:r>
      <w:r>
        <w:rPr>
          <w:rFonts w:ascii="宋体" w:hAnsi="宋体" w:hint="eastAsia"/>
          <w:kern w:val="0"/>
          <w:sz w:val="22"/>
          <w:szCs w:val="22"/>
        </w:rPr>
        <w:t>小时内服务响应、</w:t>
      </w:r>
      <w:r>
        <w:rPr>
          <w:rFonts w:ascii="宋体" w:hAnsi="宋体" w:hint="eastAsia"/>
          <w:kern w:val="0"/>
          <w:sz w:val="22"/>
          <w:szCs w:val="22"/>
        </w:rPr>
        <w:t>3</w:t>
      </w:r>
      <w:r>
        <w:rPr>
          <w:rFonts w:ascii="宋体" w:hAnsi="宋体" w:hint="eastAsia"/>
          <w:kern w:val="0"/>
          <w:sz w:val="22"/>
          <w:szCs w:val="22"/>
        </w:rPr>
        <w:t>小时内现场服务到位、</w:t>
      </w:r>
      <w:r>
        <w:rPr>
          <w:rFonts w:ascii="宋体" w:hAnsi="宋体" w:hint="eastAsia"/>
          <w:kern w:val="0"/>
          <w:sz w:val="22"/>
          <w:szCs w:val="22"/>
        </w:rPr>
        <w:t>12</w:t>
      </w:r>
      <w:r>
        <w:rPr>
          <w:rFonts w:ascii="宋体" w:hAnsi="宋体" w:hint="eastAsia"/>
          <w:kern w:val="0"/>
          <w:sz w:val="22"/>
          <w:szCs w:val="22"/>
        </w:rPr>
        <w:t>小时内解决问题，不能解决的提供应急方案。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备品备件及耗材要求：必须满足冷冻设备在正常运行过程中的备品备件及耗材的要求。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供货地点：</w:t>
      </w:r>
    </w:p>
    <w:p w:rsidR="00685E49" w:rsidRDefault="004074CE">
      <w:pPr>
        <w:snapToGrid w:val="0"/>
        <w:spacing w:line="360" w:lineRule="auto"/>
        <w:ind w:left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莫干山院区：近德清高铁站，以实际开院地址为准；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供货方式和交货期：供应商收到采购人供货通知后</w:t>
      </w:r>
      <w:r>
        <w:rPr>
          <w:rFonts w:ascii="宋体" w:hAnsi="宋体" w:hint="eastAsia"/>
          <w:kern w:val="0"/>
          <w:sz w:val="22"/>
          <w:szCs w:val="22"/>
        </w:rPr>
        <w:t>15</w:t>
      </w:r>
      <w:r>
        <w:rPr>
          <w:rFonts w:ascii="宋体" w:hAnsi="宋体" w:hint="eastAsia"/>
          <w:kern w:val="0"/>
          <w:sz w:val="22"/>
          <w:szCs w:val="22"/>
        </w:rPr>
        <w:t>天内，货到采购人指定的使用地点。按规范要求作好现场安全防护，安装调试完毕。</w:t>
      </w:r>
    </w:p>
    <w:p w:rsidR="00685E49" w:rsidRDefault="004074CE">
      <w:pPr>
        <w:numPr>
          <w:ilvl w:val="0"/>
          <w:numId w:val="1"/>
        </w:num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安装和验收要求：</w:t>
      </w:r>
      <w:r>
        <w:rPr>
          <w:rFonts w:ascii="宋体" w:hAnsi="宋体" w:hint="eastAsia"/>
          <w:sz w:val="22"/>
          <w:szCs w:val="22"/>
        </w:rPr>
        <w:t>质量标准必须符合我国国家有关技术规范要求和技术标准，在送货、安装、检验过程中发生的费用由供应商负责。本</w:t>
      </w:r>
      <w:r>
        <w:rPr>
          <w:rFonts w:ascii="宋体" w:hAnsi="宋体"/>
          <w:sz w:val="22"/>
          <w:szCs w:val="22"/>
        </w:rPr>
        <w:t>次采购的产品包装以原厂完整封存包装为准，产品</w:t>
      </w:r>
      <w:r>
        <w:rPr>
          <w:rFonts w:ascii="宋体" w:hAnsi="宋体" w:hint="eastAsia"/>
          <w:sz w:val="22"/>
          <w:szCs w:val="22"/>
        </w:rPr>
        <w:t>必须</w:t>
      </w:r>
      <w:r>
        <w:rPr>
          <w:rFonts w:ascii="宋体" w:hAnsi="宋体"/>
          <w:sz w:val="22"/>
          <w:szCs w:val="22"/>
        </w:rPr>
        <w:t>达到国家质量检测标准</w:t>
      </w:r>
      <w:r>
        <w:rPr>
          <w:rFonts w:ascii="宋体" w:hAnsi="宋体" w:hint="eastAsia"/>
          <w:sz w:val="22"/>
          <w:szCs w:val="22"/>
        </w:rPr>
        <w:t>，无国家质量检查标准的，以</w:t>
      </w:r>
      <w:r>
        <w:rPr>
          <w:rFonts w:ascii="宋体" w:hAnsi="宋体"/>
          <w:sz w:val="22"/>
          <w:szCs w:val="22"/>
        </w:rPr>
        <w:t>相关行业标准</w:t>
      </w:r>
      <w:r>
        <w:rPr>
          <w:rFonts w:ascii="宋体" w:hAnsi="宋体" w:hint="eastAsia"/>
          <w:sz w:val="22"/>
          <w:szCs w:val="22"/>
        </w:rPr>
        <w:t>为准，并提供</w:t>
      </w:r>
      <w:r>
        <w:rPr>
          <w:rFonts w:ascii="宋体" w:hAnsi="宋体"/>
          <w:sz w:val="22"/>
          <w:szCs w:val="22"/>
        </w:rPr>
        <w:t>生产厂家质量合格证</w:t>
      </w:r>
      <w:r>
        <w:rPr>
          <w:rFonts w:ascii="宋体" w:hAnsi="宋体" w:hint="eastAsia"/>
          <w:sz w:val="22"/>
          <w:szCs w:val="22"/>
        </w:rPr>
        <w:t>。供应商提交所有相关设备资料、</w:t>
      </w:r>
      <w:r>
        <w:rPr>
          <w:rFonts w:ascii="宋体" w:hAnsi="宋体" w:cs="仿宋_GB2312" w:hint="eastAsia"/>
          <w:sz w:val="22"/>
          <w:szCs w:val="22"/>
        </w:rPr>
        <w:t>安装调试完成由采购人验收合</w:t>
      </w:r>
      <w:r>
        <w:rPr>
          <w:rFonts w:ascii="宋体" w:hAnsi="宋体" w:cs="仿宋_GB2312" w:hint="eastAsia"/>
          <w:sz w:val="22"/>
          <w:szCs w:val="22"/>
        </w:rPr>
        <w:t>格后、</w:t>
      </w:r>
    </w:p>
    <w:p w:rsidR="00685E49" w:rsidRDefault="004074CE">
      <w:p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 xml:space="preserve">7 </w:t>
      </w:r>
      <w:r>
        <w:rPr>
          <w:rFonts w:ascii="宋体" w:hAnsi="宋体" w:hint="eastAsia"/>
          <w:kern w:val="0"/>
          <w:sz w:val="22"/>
          <w:szCs w:val="22"/>
        </w:rPr>
        <w:t>付款方式：验收合格后一次性支付。</w:t>
      </w:r>
      <w:bookmarkEnd w:id="0"/>
      <w:bookmarkEnd w:id="1"/>
      <w:bookmarkEnd w:id="2"/>
    </w:p>
    <w:p w:rsidR="00685E49" w:rsidRPr="000717CE" w:rsidRDefault="00685E49">
      <w:pPr>
        <w:snapToGrid w:val="0"/>
        <w:spacing w:line="360" w:lineRule="auto"/>
        <w:ind w:firstLine="510"/>
        <w:rPr>
          <w:rFonts w:ascii="宋体" w:hAnsi="宋体"/>
          <w:kern w:val="0"/>
          <w:sz w:val="22"/>
          <w:szCs w:val="22"/>
        </w:rPr>
      </w:pPr>
      <w:bookmarkStart w:id="9" w:name="_GoBack"/>
      <w:bookmarkEnd w:id="9"/>
    </w:p>
    <w:sectPr w:rsidR="00685E49" w:rsidRPr="000717C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E" w:rsidRDefault="004074CE">
      <w:r>
        <w:separator/>
      </w:r>
    </w:p>
  </w:endnote>
  <w:endnote w:type="continuationSeparator" w:id="0">
    <w:p w:rsidR="004074CE" w:rsidRDefault="004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?? Light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49" w:rsidRDefault="004074CE">
    <w:pPr>
      <w:pStyle w:val="a7"/>
      <w:framePr w:wrap="around" w:vAnchor="text" w:hAnchor="margin" w:xAlign="outside" w:y="1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C80EF" wp14:editId="7ECB31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5E49" w:rsidRDefault="00685E49">
                          <w:pPr>
                            <w:pStyle w:val="a7"/>
                            <w:ind w:firstLine="36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E" w:rsidRDefault="004074CE">
      <w:r>
        <w:separator/>
      </w:r>
    </w:p>
  </w:footnote>
  <w:footnote w:type="continuationSeparator" w:id="0">
    <w:p w:rsidR="004074CE" w:rsidRDefault="0040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49" w:rsidRDefault="00685E49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16E69"/>
    <w:multiLevelType w:val="singleLevel"/>
    <w:tmpl w:val="A9D16E6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JkY2E1NjgxN2M3ZWZkMjM5MjViZDQ0ZTFlOGEifQ=="/>
  </w:docVars>
  <w:rsids>
    <w:rsidRoot w:val="0030010B"/>
    <w:rsid w:val="000717CE"/>
    <w:rsid w:val="00204AC4"/>
    <w:rsid w:val="002E235F"/>
    <w:rsid w:val="0030010B"/>
    <w:rsid w:val="0030307E"/>
    <w:rsid w:val="004074CE"/>
    <w:rsid w:val="004120CF"/>
    <w:rsid w:val="00555D39"/>
    <w:rsid w:val="00583B81"/>
    <w:rsid w:val="00685E49"/>
    <w:rsid w:val="006C2FEA"/>
    <w:rsid w:val="00742D6E"/>
    <w:rsid w:val="008B6F57"/>
    <w:rsid w:val="009278B9"/>
    <w:rsid w:val="00931ADF"/>
    <w:rsid w:val="009654CD"/>
    <w:rsid w:val="00A3668A"/>
    <w:rsid w:val="00A84F18"/>
    <w:rsid w:val="00CC6D58"/>
    <w:rsid w:val="00D83462"/>
    <w:rsid w:val="00E17821"/>
    <w:rsid w:val="02EB4148"/>
    <w:rsid w:val="05A46B4C"/>
    <w:rsid w:val="06190963"/>
    <w:rsid w:val="061F3133"/>
    <w:rsid w:val="0C305B93"/>
    <w:rsid w:val="0D793477"/>
    <w:rsid w:val="124F6177"/>
    <w:rsid w:val="16BD4191"/>
    <w:rsid w:val="172704B4"/>
    <w:rsid w:val="18397637"/>
    <w:rsid w:val="19505226"/>
    <w:rsid w:val="1998088D"/>
    <w:rsid w:val="1D452745"/>
    <w:rsid w:val="1E9B2AAF"/>
    <w:rsid w:val="20A25BDE"/>
    <w:rsid w:val="25AB7A3A"/>
    <w:rsid w:val="2762738E"/>
    <w:rsid w:val="29957A2B"/>
    <w:rsid w:val="2A61691A"/>
    <w:rsid w:val="2D3503F7"/>
    <w:rsid w:val="308129B8"/>
    <w:rsid w:val="30CE282F"/>
    <w:rsid w:val="31254F00"/>
    <w:rsid w:val="3458004E"/>
    <w:rsid w:val="348E7D9C"/>
    <w:rsid w:val="35605C44"/>
    <w:rsid w:val="358061B4"/>
    <w:rsid w:val="38235448"/>
    <w:rsid w:val="3BC767F9"/>
    <w:rsid w:val="3CE76CBF"/>
    <w:rsid w:val="3D154B47"/>
    <w:rsid w:val="4290231A"/>
    <w:rsid w:val="42FE65EB"/>
    <w:rsid w:val="45CC6208"/>
    <w:rsid w:val="46C73569"/>
    <w:rsid w:val="496C6C44"/>
    <w:rsid w:val="49C64697"/>
    <w:rsid w:val="4D9643D3"/>
    <w:rsid w:val="4DF92618"/>
    <w:rsid w:val="4E0F5A16"/>
    <w:rsid w:val="4F786330"/>
    <w:rsid w:val="4F9B3445"/>
    <w:rsid w:val="53F3339E"/>
    <w:rsid w:val="54BE70B2"/>
    <w:rsid w:val="57622B1D"/>
    <w:rsid w:val="62304375"/>
    <w:rsid w:val="64631908"/>
    <w:rsid w:val="646A7AA8"/>
    <w:rsid w:val="65017861"/>
    <w:rsid w:val="655820EC"/>
    <w:rsid w:val="67891337"/>
    <w:rsid w:val="68E1575F"/>
    <w:rsid w:val="6BA70F1B"/>
    <w:rsid w:val="6C850CF6"/>
    <w:rsid w:val="70181DFD"/>
    <w:rsid w:val="70777076"/>
    <w:rsid w:val="76BE477F"/>
    <w:rsid w:val="77A64C1C"/>
    <w:rsid w:val="78A80B2C"/>
    <w:rsid w:val="7AC91963"/>
    <w:rsid w:val="7AD8110B"/>
    <w:rsid w:val="7BDF4EBD"/>
    <w:rsid w:val="7C8143F3"/>
    <w:rsid w:val="7D230DA2"/>
    <w:rsid w:val="7D7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widowControl/>
      <w:ind w:firstLine="420"/>
      <w:jc w:val="left"/>
    </w:pPr>
    <w:rPr>
      <w:rFonts w:ascii="Arial" w:hAnsi="Arial" w:cs="Arial"/>
      <w:kern w:val="0"/>
      <w:sz w:val="20"/>
      <w:szCs w:val="20"/>
    </w:rPr>
  </w:style>
  <w:style w:type="paragraph" w:styleId="a4">
    <w:name w:val="annotation text"/>
    <w:basedOn w:val="a"/>
    <w:link w:val="Char"/>
    <w:autoRedefine/>
    <w:qFormat/>
    <w:pPr>
      <w:jc w:val="left"/>
    </w:pPr>
  </w:style>
  <w:style w:type="paragraph" w:styleId="a5">
    <w:name w:val="Body Text"/>
    <w:basedOn w:val="a"/>
    <w:autoRedefine/>
    <w:qFormat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paragraph" w:styleId="a6">
    <w:name w:val="Balloon Text"/>
    <w:basedOn w:val="a"/>
    <w:link w:val="Char0"/>
    <w:autoRedefine/>
    <w:qFormat/>
    <w:rPr>
      <w:sz w:val="18"/>
      <w:szCs w:val="18"/>
    </w:rPr>
  </w:style>
  <w:style w:type="paragraph" w:styleId="a7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a"/>
    <w:next w:val="a"/>
    <w:autoRedefine/>
    <w:qFormat/>
    <w:pPr>
      <w:ind w:left="1050"/>
      <w:jc w:val="left"/>
    </w:pPr>
    <w:rPr>
      <w:szCs w:val="21"/>
    </w:rPr>
  </w:style>
  <w:style w:type="paragraph" w:styleId="a9">
    <w:name w:val="Title"/>
    <w:next w:val="a"/>
    <w:autoRedefine/>
    <w:uiPriority w:val="99"/>
    <w:qFormat/>
    <w:pPr>
      <w:widowControl w:val="0"/>
      <w:spacing w:before="240" w:after="60" w:line="400" w:lineRule="exact"/>
      <w:ind w:firstLineChars="200" w:firstLine="200"/>
      <w:jc w:val="center"/>
      <w:outlineLvl w:val="0"/>
    </w:pPr>
    <w:rPr>
      <w:rFonts w:ascii="?? Light" w:hAnsi="?? Light"/>
      <w:b/>
      <w:kern w:val="2"/>
      <w:sz w:val="32"/>
      <w:szCs w:val="32"/>
    </w:rPr>
  </w:style>
  <w:style w:type="paragraph" w:styleId="aa">
    <w:name w:val="annotation subject"/>
    <w:basedOn w:val="a4"/>
    <w:next w:val="a4"/>
    <w:link w:val="Char1"/>
    <w:autoRedefine/>
    <w:qFormat/>
    <w:rPr>
      <w:b/>
      <w:bCs/>
    </w:rPr>
  </w:style>
  <w:style w:type="paragraph" w:styleId="ab">
    <w:name w:val="Body Text First Indent"/>
    <w:basedOn w:val="a5"/>
    <w:next w:val="6"/>
    <w:autoRedefine/>
    <w:qFormat/>
    <w:pPr>
      <w:adjustRightInd/>
      <w:spacing w:after="120" w:line="240" w:lineRule="auto"/>
      <w:ind w:firstLineChars="100" w:firstLine="420"/>
      <w:jc w:val="both"/>
    </w:pPr>
    <w:rPr>
      <w:rFonts w:ascii="Times New Roman"/>
      <w:kern w:val="2"/>
      <w:sz w:val="21"/>
      <w:szCs w:val="24"/>
    </w:rPr>
  </w:style>
  <w:style w:type="table" w:styleId="ac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autoRedefine/>
    <w:qFormat/>
    <w:rPr>
      <w:sz w:val="21"/>
      <w:szCs w:val="21"/>
    </w:rPr>
  </w:style>
  <w:style w:type="paragraph" w:customStyle="1" w:styleId="1">
    <w:name w:val="列出段落1"/>
    <w:basedOn w:val="a"/>
    <w:autoRedefine/>
    <w:qFormat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">
    <w:name w:val="批注文字 Char"/>
    <w:basedOn w:val="a1"/>
    <w:link w:val="a4"/>
    <w:autoRedefine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a"/>
    <w:autoRedefine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6"/>
    <w:autoRedefine/>
    <w:qFormat/>
    <w:rPr>
      <w:kern w:val="2"/>
      <w:sz w:val="18"/>
      <w:szCs w:val="18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widowControl/>
      <w:ind w:firstLine="420"/>
      <w:jc w:val="left"/>
    </w:pPr>
    <w:rPr>
      <w:rFonts w:ascii="Arial" w:hAnsi="Arial" w:cs="Arial"/>
      <w:kern w:val="0"/>
      <w:sz w:val="20"/>
      <w:szCs w:val="20"/>
    </w:rPr>
  </w:style>
  <w:style w:type="paragraph" w:styleId="a4">
    <w:name w:val="annotation text"/>
    <w:basedOn w:val="a"/>
    <w:link w:val="Char"/>
    <w:autoRedefine/>
    <w:qFormat/>
    <w:pPr>
      <w:jc w:val="left"/>
    </w:pPr>
  </w:style>
  <w:style w:type="paragraph" w:styleId="a5">
    <w:name w:val="Body Text"/>
    <w:basedOn w:val="a"/>
    <w:autoRedefine/>
    <w:qFormat/>
    <w:pPr>
      <w:adjustRightInd w:val="0"/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paragraph" w:styleId="a6">
    <w:name w:val="Balloon Text"/>
    <w:basedOn w:val="a"/>
    <w:link w:val="Char0"/>
    <w:autoRedefine/>
    <w:qFormat/>
    <w:rPr>
      <w:sz w:val="18"/>
      <w:szCs w:val="18"/>
    </w:rPr>
  </w:style>
  <w:style w:type="paragraph" w:styleId="a7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a"/>
    <w:next w:val="a"/>
    <w:autoRedefine/>
    <w:qFormat/>
    <w:pPr>
      <w:ind w:left="1050"/>
      <w:jc w:val="left"/>
    </w:pPr>
    <w:rPr>
      <w:szCs w:val="21"/>
    </w:rPr>
  </w:style>
  <w:style w:type="paragraph" w:styleId="a9">
    <w:name w:val="Title"/>
    <w:next w:val="a"/>
    <w:autoRedefine/>
    <w:uiPriority w:val="99"/>
    <w:qFormat/>
    <w:pPr>
      <w:widowControl w:val="0"/>
      <w:spacing w:before="240" w:after="60" w:line="400" w:lineRule="exact"/>
      <w:ind w:firstLineChars="200" w:firstLine="200"/>
      <w:jc w:val="center"/>
      <w:outlineLvl w:val="0"/>
    </w:pPr>
    <w:rPr>
      <w:rFonts w:ascii="?? Light" w:hAnsi="?? Light"/>
      <w:b/>
      <w:kern w:val="2"/>
      <w:sz w:val="32"/>
      <w:szCs w:val="32"/>
    </w:rPr>
  </w:style>
  <w:style w:type="paragraph" w:styleId="aa">
    <w:name w:val="annotation subject"/>
    <w:basedOn w:val="a4"/>
    <w:next w:val="a4"/>
    <w:link w:val="Char1"/>
    <w:autoRedefine/>
    <w:qFormat/>
    <w:rPr>
      <w:b/>
      <w:bCs/>
    </w:rPr>
  </w:style>
  <w:style w:type="paragraph" w:styleId="ab">
    <w:name w:val="Body Text First Indent"/>
    <w:basedOn w:val="a5"/>
    <w:next w:val="6"/>
    <w:autoRedefine/>
    <w:qFormat/>
    <w:pPr>
      <w:adjustRightInd/>
      <w:spacing w:after="120" w:line="240" w:lineRule="auto"/>
      <w:ind w:firstLineChars="100" w:firstLine="420"/>
      <w:jc w:val="both"/>
    </w:pPr>
    <w:rPr>
      <w:rFonts w:ascii="Times New Roman"/>
      <w:kern w:val="2"/>
      <w:sz w:val="21"/>
      <w:szCs w:val="24"/>
    </w:rPr>
  </w:style>
  <w:style w:type="table" w:styleId="ac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autoRedefine/>
    <w:qFormat/>
    <w:rPr>
      <w:sz w:val="21"/>
      <w:szCs w:val="21"/>
    </w:rPr>
  </w:style>
  <w:style w:type="paragraph" w:customStyle="1" w:styleId="1">
    <w:name w:val="列出段落1"/>
    <w:basedOn w:val="a"/>
    <w:autoRedefine/>
    <w:qFormat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">
    <w:name w:val="批注文字 Char"/>
    <w:basedOn w:val="a1"/>
    <w:link w:val="a4"/>
    <w:autoRedefine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a"/>
    <w:autoRedefine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6"/>
    <w:autoRedefine/>
    <w:qFormat/>
    <w:rPr>
      <w:kern w:val="2"/>
      <w:sz w:val="18"/>
      <w:szCs w:val="18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</cp:lastModifiedBy>
  <cp:revision>4</cp:revision>
  <dcterms:created xsi:type="dcterms:W3CDTF">2024-03-27T07:08:00Z</dcterms:created>
  <dcterms:modified xsi:type="dcterms:W3CDTF">2024-03-28T04:16:00Z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87EAF087B0704346A2FB026C44DC8AA0_12</vt:lpwstr>
  </property>
</Properties>
</file>