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319" w:tblpY="139"/>
        <w:tblOverlap w:val="never"/>
        <w:tblW w:w="67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2255"/>
        <w:gridCol w:w="8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53" w:type="pct"/>
            <w:gridSpan w:val="2"/>
          </w:tcPr>
          <w:p>
            <w:pPr>
              <w:ind w:right="-340" w:rightChars="-162" w:firstLine="562" w:firstLineChars="200"/>
              <w:jc w:val="both"/>
              <w:rPr>
                <w:rFonts w:hint="eastAsia" w:asciiTheme="majorEastAsia" w:hAnsiTheme="majorEastAsia" w:eastAsiaTheme="majorEastAsia"/>
                <w:b/>
                <w:bCs w:val="0"/>
                <w:sz w:val="28"/>
                <w:szCs w:val="28"/>
                <w:vertAlign w:val="baseline"/>
                <w:lang w:val="en-US" w:eastAsia="zh-CN"/>
              </w:rPr>
            </w:pPr>
            <w:bookmarkStart w:id="0" w:name="_GoBack"/>
            <w:bookmarkEnd w:id="0"/>
            <w:r>
              <w:rPr>
                <w:rFonts w:hint="eastAsia" w:asciiTheme="majorEastAsia" w:hAnsiTheme="majorEastAsia" w:eastAsiaTheme="majorEastAsia"/>
                <w:b/>
                <w:sz w:val="28"/>
                <w:szCs w:val="28"/>
                <w:lang w:val="en-US" w:eastAsia="zh-CN"/>
              </w:rPr>
              <w:t>项</w:t>
            </w:r>
            <w:r>
              <w:rPr>
                <w:rFonts w:hint="eastAsia" w:asciiTheme="majorEastAsia" w:hAnsiTheme="majorEastAsia" w:eastAsiaTheme="majorEastAsia"/>
                <w:b/>
                <w:sz w:val="28"/>
                <w:szCs w:val="28"/>
              </w:rPr>
              <w:t>目名称</w:t>
            </w:r>
          </w:p>
        </w:tc>
        <w:tc>
          <w:tcPr>
            <w:tcW w:w="3746" w:type="pct"/>
          </w:tcPr>
          <w:p>
            <w:pPr>
              <w:spacing w:line="480" w:lineRule="auto"/>
              <w:ind w:right="-340" w:rightChars="-162"/>
              <w:jc w:val="left"/>
              <w:rPr>
                <w:rFonts w:hint="default" w:asciiTheme="majorEastAsia" w:hAnsiTheme="majorEastAsia" w:eastAsiaTheme="majorEastAsia"/>
                <w:b/>
                <w:bCs w:val="0"/>
                <w:sz w:val="24"/>
                <w:szCs w:val="24"/>
                <w:vertAlign w:val="baseline"/>
                <w:lang w:val="en-US" w:eastAsia="zh-CN"/>
              </w:rPr>
            </w:pPr>
            <w:r>
              <w:rPr>
                <w:rFonts w:hint="eastAsia" w:asciiTheme="majorEastAsia" w:hAnsiTheme="majorEastAsia" w:eastAsiaTheme="majorEastAsia"/>
                <w:b/>
                <w:bCs w:val="0"/>
                <w:sz w:val="24"/>
                <w:szCs w:val="24"/>
                <w:vertAlign w:val="baseline"/>
                <w:lang w:val="en-US" w:eastAsia="zh-CN"/>
              </w:rPr>
              <w:t>脑电生物反馈治疗仪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53" w:type="pct"/>
            <w:gridSpan w:val="2"/>
          </w:tcPr>
          <w:p>
            <w:pPr>
              <w:tabs>
                <w:tab w:val="left" w:pos="874"/>
              </w:tabs>
              <w:ind w:right="-340" w:rightChars="-162" w:firstLine="562" w:firstLineChars="200"/>
              <w:jc w:val="left"/>
              <w:rPr>
                <w:rFonts w:hint="default" w:asciiTheme="majorEastAsia" w:hAnsiTheme="majorEastAsia" w:eastAsiaTheme="majorEastAsia"/>
                <w:b/>
                <w:bCs w:val="0"/>
                <w:sz w:val="28"/>
                <w:szCs w:val="28"/>
                <w:vertAlign w:val="baseline"/>
                <w:lang w:val="en-US" w:eastAsia="zh-CN"/>
              </w:rPr>
            </w:pPr>
            <w:r>
              <w:rPr>
                <w:rFonts w:hint="eastAsia" w:asciiTheme="majorEastAsia" w:hAnsiTheme="majorEastAsia" w:eastAsiaTheme="majorEastAsia"/>
                <w:b/>
                <w:bCs w:val="0"/>
                <w:sz w:val="28"/>
                <w:szCs w:val="28"/>
                <w:vertAlign w:val="baseline"/>
                <w:lang w:val="en-US" w:eastAsia="zh-CN"/>
              </w:rPr>
              <w:t>使用科室</w:t>
            </w:r>
          </w:p>
        </w:tc>
        <w:tc>
          <w:tcPr>
            <w:tcW w:w="3746" w:type="pct"/>
          </w:tcPr>
          <w:p>
            <w:pPr>
              <w:bidi w:val="0"/>
              <w:spacing w:line="480" w:lineRule="auto"/>
              <w:jc w:val="left"/>
              <w:rPr>
                <w:rFonts w:hint="eastAsia" w:asciiTheme="minorHAnsi" w:hAnsiTheme="minorHAnsi" w:eastAsiaTheme="minorEastAsia" w:cstheme="minorBidi"/>
                <w:kern w:val="2"/>
                <w:sz w:val="21"/>
                <w:szCs w:val="22"/>
                <w:lang w:val="en-US" w:eastAsia="zh-CN" w:bidi="ar-SA"/>
              </w:rPr>
            </w:pPr>
            <w:r>
              <w:rPr>
                <w:rFonts w:hint="eastAsia" w:asciiTheme="majorEastAsia" w:hAnsiTheme="majorEastAsia" w:eastAsiaTheme="majorEastAsia"/>
                <w:b/>
                <w:bCs w:val="0"/>
                <w:sz w:val="24"/>
                <w:szCs w:val="24"/>
                <w:vertAlign w:val="baseline"/>
                <w:lang w:val="en-US" w:eastAsia="zh-CN"/>
              </w:rPr>
              <w:t>康复科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0" w:type="pct"/>
          </w:tcPr>
          <w:p>
            <w:pPr>
              <w:ind w:right="-340" w:rightChars="-162" w:firstLine="241" w:firstLineChars="100"/>
              <w:jc w:val="left"/>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bCs w:val="0"/>
                <w:sz w:val="24"/>
                <w:szCs w:val="24"/>
                <w:vertAlign w:val="baseline"/>
                <w:lang w:val="en-US" w:eastAsia="zh-CN"/>
              </w:rPr>
              <w:t>一</w:t>
            </w:r>
          </w:p>
        </w:tc>
        <w:tc>
          <w:tcPr>
            <w:tcW w:w="4719" w:type="pct"/>
            <w:gridSpan w:val="2"/>
          </w:tcPr>
          <w:p>
            <w:pPr>
              <w:ind w:right="-340" w:rightChars="-162" w:firstLine="4337" w:firstLineChars="1800"/>
              <w:jc w:val="left"/>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bCs w:val="0"/>
                <w:sz w:val="24"/>
                <w:szCs w:val="24"/>
                <w:vertAlign w:val="baseline"/>
                <w:lang w:val="en-US" w:eastAsia="zh-CN"/>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0" w:type="pct"/>
          </w:tcPr>
          <w:p>
            <w:pPr>
              <w:ind w:right="-340" w:rightChars="-162"/>
              <w:jc w:val="both"/>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1.1</w:t>
            </w:r>
          </w:p>
        </w:tc>
        <w:tc>
          <w:tcPr>
            <w:tcW w:w="4719" w:type="pct"/>
            <w:gridSpan w:val="2"/>
          </w:tcPr>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用途：应用于儿童多动症等疾病的辅助治疗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0" w:type="pct"/>
          </w:tcPr>
          <w:p>
            <w:pPr>
              <w:ind w:right="-340" w:rightChars="-162"/>
              <w:jc w:val="both"/>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1.2</w:t>
            </w:r>
          </w:p>
        </w:tc>
        <w:tc>
          <w:tcPr>
            <w:tcW w:w="4719" w:type="pct"/>
            <w:gridSpan w:val="2"/>
          </w:tcPr>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数量：1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0" w:type="pct"/>
          </w:tcPr>
          <w:p>
            <w:pPr>
              <w:ind w:right="-340" w:rightChars="-162" w:firstLine="241" w:firstLineChars="100"/>
              <w:jc w:val="both"/>
              <w:rPr>
                <w:rFonts w:hint="default" w:asciiTheme="majorEastAsia" w:hAnsiTheme="majorEastAsia" w:eastAsiaTheme="majorEastAsia"/>
                <w:b/>
                <w:bCs w:val="0"/>
                <w:sz w:val="24"/>
                <w:szCs w:val="24"/>
                <w:vertAlign w:val="baseline"/>
                <w:lang w:val="en-US" w:eastAsia="zh-CN"/>
              </w:rPr>
            </w:pPr>
            <w:r>
              <w:rPr>
                <w:rFonts w:hint="eastAsia" w:asciiTheme="majorEastAsia" w:hAnsiTheme="majorEastAsia" w:eastAsiaTheme="majorEastAsia"/>
                <w:b/>
                <w:bCs w:val="0"/>
                <w:sz w:val="24"/>
                <w:szCs w:val="24"/>
                <w:vertAlign w:val="baseline"/>
                <w:lang w:val="en-US" w:eastAsia="zh-CN"/>
              </w:rPr>
              <w:t>二</w:t>
            </w:r>
          </w:p>
        </w:tc>
        <w:tc>
          <w:tcPr>
            <w:tcW w:w="4719" w:type="pct"/>
            <w:gridSpan w:val="2"/>
          </w:tcPr>
          <w:p>
            <w:pPr>
              <w:ind w:right="-340" w:rightChars="-162"/>
              <w:jc w:val="both"/>
              <w:rPr>
                <w:rFonts w:hint="default" w:asciiTheme="majorEastAsia" w:hAnsiTheme="majorEastAsia" w:eastAsiaTheme="majorEastAsia"/>
                <w:b/>
                <w:bCs w:val="0"/>
                <w:sz w:val="24"/>
                <w:szCs w:val="24"/>
                <w:vertAlign w:val="baseline"/>
                <w:lang w:val="en-US" w:eastAsia="zh-CN"/>
              </w:rPr>
            </w:pPr>
            <w:r>
              <w:rPr>
                <w:rFonts w:hint="eastAsia" w:asciiTheme="majorEastAsia" w:hAnsiTheme="majorEastAsia" w:eastAsiaTheme="majorEastAsia"/>
                <w:b/>
                <w:bCs w:val="0"/>
                <w:sz w:val="24"/>
                <w:szCs w:val="24"/>
                <w:vertAlign w:val="baseline"/>
                <w:lang w:val="en-US" w:eastAsia="zh-CN"/>
              </w:rPr>
              <w:t xml:space="preserve">                                 主要功能及参数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0" w:type="pct"/>
            <w:vAlign w:val="top"/>
          </w:tcPr>
          <w:p>
            <w:pPr>
              <w:ind w:right="-340" w:rightChars="-162"/>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2.1</w:t>
            </w:r>
          </w:p>
        </w:tc>
        <w:tc>
          <w:tcPr>
            <w:tcW w:w="4719" w:type="pct"/>
            <w:gridSpan w:val="2"/>
            <w:vAlign w:val="top"/>
          </w:tcPr>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IVA视听整合连续性测试软件，主要对多动症患者进行分型，精准治疗；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0" w:type="pct"/>
            <w:vAlign w:val="top"/>
          </w:tcPr>
          <w:p>
            <w:pPr>
              <w:ind w:right="-340" w:rightChars="-162"/>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2.2</w:t>
            </w:r>
          </w:p>
        </w:tc>
        <w:tc>
          <w:tcPr>
            <w:tcW w:w="4719" w:type="pct"/>
            <w:gridSpan w:val="2"/>
            <w:vAlign w:val="top"/>
          </w:tcPr>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视频连续播放生物反馈软件，通过参数的变化，视频可进行暂停或继续播放的模式；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0" w:type="pct"/>
            <w:vAlign w:val="top"/>
          </w:tcPr>
          <w:p>
            <w:pPr>
              <w:ind w:right="-340" w:rightChars="-162"/>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2.3</w:t>
            </w:r>
          </w:p>
        </w:tc>
        <w:tc>
          <w:tcPr>
            <w:tcW w:w="4719" w:type="pct"/>
            <w:gridSpan w:val="2"/>
            <w:vAlign w:val="top"/>
          </w:tcPr>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图片抓取播放生物反馈软件，通过参数的变化，视频可进行后退或前进的播放模式；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 w:type="pct"/>
            <w:vAlign w:val="top"/>
          </w:tcPr>
          <w:p>
            <w:pPr>
              <w:ind w:right="-340" w:rightChars="-162"/>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4719" w:type="pct"/>
            <w:gridSpan w:val="2"/>
            <w:vAlign w:val="top"/>
          </w:tcPr>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脑电参数可进行单独反馈，以达到通过不同病症的脑电图的改变而采取不同治疗方案的点对点的直接治疗及训练；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0" w:type="pct"/>
            <w:vAlign w:val="top"/>
          </w:tcPr>
          <w:p>
            <w:pPr>
              <w:ind w:right="-340" w:rightChars="-162"/>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2.5</w:t>
            </w:r>
          </w:p>
        </w:tc>
        <w:tc>
          <w:tcPr>
            <w:tcW w:w="4719" w:type="pct"/>
            <w:gridSpan w:val="2"/>
            <w:vAlign w:val="top"/>
          </w:tcPr>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可调节脑电反馈的频段，针对某一频段或某几段的脑电波进行增加或减弱训练；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0" w:type="pct"/>
            <w:vAlign w:val="top"/>
          </w:tcPr>
          <w:p>
            <w:pPr>
              <w:ind w:right="-340" w:rightChars="-162"/>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2.6</w:t>
            </w:r>
          </w:p>
        </w:tc>
        <w:tc>
          <w:tcPr>
            <w:tcW w:w="4719" w:type="pct"/>
            <w:gridSpan w:val="2"/>
            <w:vAlign w:val="top"/>
          </w:tcPr>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一台服务器可以集中控制大于等于四台终端，即操作人员通过服务器可以控制每个终端，无需操作人员对每个终端进</w:t>
            </w:r>
          </w:p>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行操作，也可分离当作独立单机使用，可分配到其他科室使用；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0" w:type="pct"/>
            <w:vAlign w:val="top"/>
          </w:tcPr>
          <w:p>
            <w:pPr>
              <w:ind w:right="-340" w:rightChars="-162"/>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2.7</w:t>
            </w:r>
          </w:p>
        </w:tc>
        <w:tc>
          <w:tcPr>
            <w:tcW w:w="4719" w:type="pct"/>
            <w:gridSpan w:val="2"/>
            <w:vAlign w:val="top"/>
          </w:tcPr>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通过服务器可以查询、打印病人治疗报告等；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0" w:type="pct"/>
            <w:vAlign w:val="top"/>
          </w:tcPr>
          <w:p>
            <w:pPr>
              <w:ind w:right="-340" w:rightChars="-162"/>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2.8</w:t>
            </w:r>
          </w:p>
        </w:tc>
        <w:tc>
          <w:tcPr>
            <w:tcW w:w="4719" w:type="pct"/>
            <w:gridSpan w:val="2"/>
            <w:vAlign w:val="top"/>
          </w:tcPr>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任何终端可进行不同病症的治疗，可同时为不同患者提供不同的动画进行治疗针对不同疾病的训练方案；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0" w:type="pct"/>
            <w:vAlign w:val="top"/>
          </w:tcPr>
          <w:p>
            <w:pPr>
              <w:ind w:right="-340" w:rightChars="-162"/>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2.9</w:t>
            </w:r>
          </w:p>
        </w:tc>
        <w:tc>
          <w:tcPr>
            <w:tcW w:w="4719" w:type="pct"/>
            <w:gridSpan w:val="2"/>
            <w:vAlign w:val="top"/>
          </w:tcPr>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在治疗过程中，所有的训练信息都会被存储，以便医生能够对数据进行进一步的分析，以及能够方便将前后不同训练</w:t>
            </w:r>
          </w:p>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阶段的情况进行比较，以便随时观察治疗效果；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0" w:type="pct"/>
            <w:vAlign w:val="top"/>
          </w:tcPr>
          <w:p>
            <w:pPr>
              <w:ind w:right="-340" w:rightChars="-162"/>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2.10</w:t>
            </w:r>
          </w:p>
        </w:tc>
        <w:tc>
          <w:tcPr>
            <w:tcW w:w="4719" w:type="pct"/>
            <w:gridSpan w:val="2"/>
            <w:vAlign w:val="top"/>
          </w:tcPr>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具备一个巨大的数据分析平台，对患者的病情进行了跟踪性的记录和分析，为医师提供大量的数据，保证决策支持的</w:t>
            </w:r>
          </w:p>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正确性；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0" w:type="pct"/>
            <w:vAlign w:val="top"/>
          </w:tcPr>
          <w:p>
            <w:pPr>
              <w:ind w:right="-340" w:rightChars="-162"/>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2.11</w:t>
            </w:r>
          </w:p>
        </w:tc>
        <w:tc>
          <w:tcPr>
            <w:tcW w:w="4719" w:type="pct"/>
            <w:gridSpan w:val="2"/>
            <w:vAlign w:val="top"/>
          </w:tcPr>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可输出疗效报告、原始波形、波形分离、小波分析、快速傅里叶变化（FFT）、时频分析、趋势分析等；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0" w:type="pct"/>
            <w:vAlign w:val="top"/>
          </w:tcPr>
          <w:p>
            <w:pPr>
              <w:ind w:right="-340" w:rightChars="-162"/>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2.12</w:t>
            </w:r>
          </w:p>
        </w:tc>
        <w:tc>
          <w:tcPr>
            <w:tcW w:w="4719" w:type="pct"/>
            <w:gridSpan w:val="2"/>
            <w:vAlign w:val="top"/>
          </w:tcPr>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提供多种类型的动画，能针对患者的情况采用相应的动画类型进行治疗，与患者协同互动；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0" w:type="pct"/>
            <w:vAlign w:val="top"/>
          </w:tcPr>
          <w:p>
            <w:pPr>
              <w:ind w:right="-340" w:rightChars="-162"/>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2.13</w:t>
            </w:r>
          </w:p>
        </w:tc>
        <w:tc>
          <w:tcPr>
            <w:tcW w:w="4719" w:type="pct"/>
            <w:gridSpan w:val="2"/>
            <w:vAlign w:val="top"/>
          </w:tcPr>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脑电(EEG)：噪声电平：≤2.5uV； 模抑制比：≥80dB；</w:t>
            </w:r>
          </w:p>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输入范围：≥±500uV；</w:t>
            </w:r>
          </w:p>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放大倍数：11500倍，误差不超过±10%；</w:t>
            </w:r>
          </w:p>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静态工作点：＜200 Uv；</w:t>
            </w:r>
          </w:p>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电压测量：误差不超过±10%；</w:t>
            </w:r>
          </w:p>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时间间隔：误差不超过±5%；</w:t>
            </w:r>
          </w:p>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时间常数：0.1S，误差不超过±20%；</w:t>
            </w:r>
          </w:p>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高频截止频率：30Hz，符合A0.9Fc≥0.7 A10≥A1.1 Fc要求；</w:t>
            </w:r>
          </w:p>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耐极化电压：加±300mV的直流极化电压，偏差为±5%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0" w:type="pct"/>
          </w:tcPr>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2.14</w:t>
            </w:r>
          </w:p>
        </w:tc>
        <w:tc>
          <w:tcPr>
            <w:tcW w:w="4719" w:type="pct"/>
            <w:gridSpan w:val="2"/>
            <w:vAlign w:val="top"/>
          </w:tcPr>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脑电电极的生物相容性：与患者接触的材料无细胞毒性、迟发型超敏反应和皮内反应；</w:t>
            </w:r>
          </w:p>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细胞毒性：≤1级；</w:t>
            </w:r>
          </w:p>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迟发型超敏反应：无迟发型超敏反应；</w:t>
            </w:r>
          </w:p>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皮内反应：试验样品和溶剂对照平均积分之差≤1.0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0" w:type="pct"/>
            <w:vAlign w:val="top"/>
          </w:tcPr>
          <w:p>
            <w:pPr>
              <w:ind w:right="-340" w:rightChars="-162"/>
              <w:jc w:val="left"/>
              <w:rPr>
                <w:rFonts w:hint="default" w:asciiTheme="majorEastAsia" w:hAnsiTheme="majorEastAsia" w:eastAsiaTheme="majorEastAsia" w:cstheme="minorBidi"/>
                <w:b/>
                <w:bCs w:val="0"/>
                <w:kern w:val="2"/>
                <w:sz w:val="24"/>
                <w:szCs w:val="24"/>
                <w:vertAlign w:val="baseline"/>
                <w:lang w:val="en-US" w:eastAsia="zh-CN" w:bidi="ar-SA"/>
              </w:rPr>
            </w:pPr>
            <w:r>
              <w:rPr>
                <w:rFonts w:hint="eastAsia" w:asciiTheme="majorEastAsia" w:hAnsiTheme="majorEastAsia" w:eastAsiaTheme="majorEastAsia"/>
                <w:b/>
                <w:bCs w:val="0"/>
                <w:sz w:val="24"/>
                <w:szCs w:val="24"/>
                <w:vertAlign w:val="baseline"/>
                <w:lang w:val="en-US" w:eastAsia="zh-CN"/>
              </w:rPr>
              <w:t>三</w:t>
            </w:r>
          </w:p>
        </w:tc>
        <w:tc>
          <w:tcPr>
            <w:tcW w:w="4719" w:type="pct"/>
            <w:gridSpan w:val="2"/>
            <w:vAlign w:val="top"/>
          </w:tcPr>
          <w:p>
            <w:pPr>
              <w:ind w:right="-340" w:rightChars="-162"/>
              <w:jc w:val="both"/>
              <w:rPr>
                <w:rFonts w:hint="default" w:asciiTheme="majorEastAsia" w:hAnsiTheme="majorEastAsia" w:eastAsiaTheme="majorEastAsia" w:cstheme="minorBidi"/>
                <w:b/>
                <w:bCs w:val="0"/>
                <w:kern w:val="2"/>
                <w:sz w:val="24"/>
                <w:szCs w:val="24"/>
                <w:vertAlign w:val="baseline"/>
                <w:lang w:val="en-US" w:eastAsia="zh-CN" w:bidi="ar-SA"/>
              </w:rPr>
            </w:pPr>
            <w:r>
              <w:rPr>
                <w:rFonts w:hint="eastAsia" w:asciiTheme="majorEastAsia" w:hAnsiTheme="majorEastAsia" w:eastAsiaTheme="majorEastAsia"/>
                <w:b/>
                <w:bCs w:val="0"/>
                <w:sz w:val="24"/>
                <w:szCs w:val="24"/>
                <w:vertAlign w:val="baseline"/>
                <w:lang w:val="en-US" w:eastAsia="zh-CN"/>
              </w:rPr>
              <w:t xml:space="preserve">                                 主要配置及附件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0" w:type="pct"/>
            <w:vAlign w:val="top"/>
          </w:tcPr>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4719" w:type="pct"/>
            <w:gridSpan w:val="2"/>
            <w:vAlign w:val="top"/>
          </w:tcPr>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终端生物反馈治疗机：6台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0" w:type="pct"/>
            <w:vAlign w:val="top"/>
          </w:tcPr>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4719" w:type="pct"/>
            <w:gridSpan w:val="2"/>
            <w:vAlign w:val="top"/>
          </w:tcPr>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服务器或主机：1台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0" w:type="pct"/>
            <w:vAlign w:val="top"/>
          </w:tcPr>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4719" w:type="pct"/>
            <w:gridSpan w:val="2"/>
            <w:vAlign w:val="top"/>
          </w:tcPr>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终端机显示器：6台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0" w:type="pct"/>
            <w:vAlign w:val="top"/>
          </w:tcPr>
          <w:p>
            <w:pPr>
              <w:ind w:right="-340" w:rightChars="-162"/>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3.4</w:t>
            </w:r>
          </w:p>
        </w:tc>
        <w:tc>
          <w:tcPr>
            <w:tcW w:w="4719" w:type="pct"/>
            <w:gridSpan w:val="2"/>
            <w:vAlign w:val="top"/>
          </w:tcPr>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脑电传感器：6套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0" w:type="pct"/>
            <w:vAlign w:val="top"/>
          </w:tcPr>
          <w:p>
            <w:pPr>
              <w:ind w:right="-340" w:rightChars="-162"/>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3.5</w:t>
            </w:r>
          </w:p>
        </w:tc>
        <w:tc>
          <w:tcPr>
            <w:tcW w:w="4719" w:type="pct"/>
            <w:gridSpan w:val="2"/>
            <w:vAlign w:val="top"/>
          </w:tcPr>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无线路由：1套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0" w:type="pct"/>
            <w:vAlign w:val="top"/>
          </w:tcPr>
          <w:p>
            <w:pPr>
              <w:ind w:right="-340" w:rightChars="-162"/>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3.6</w:t>
            </w:r>
          </w:p>
        </w:tc>
        <w:tc>
          <w:tcPr>
            <w:tcW w:w="4719" w:type="pct"/>
            <w:gridSpan w:val="2"/>
            <w:vAlign w:val="top"/>
          </w:tcPr>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干性电极：18个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0" w:type="pct"/>
            <w:vAlign w:val="top"/>
          </w:tcPr>
          <w:p>
            <w:pPr>
              <w:ind w:right="-340" w:rightChars="-162"/>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3.7</w:t>
            </w:r>
          </w:p>
        </w:tc>
        <w:tc>
          <w:tcPr>
            <w:tcW w:w="4719" w:type="pct"/>
            <w:gridSpan w:val="2"/>
            <w:vAlign w:val="top"/>
          </w:tcPr>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耳机：6个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0" w:type="pct"/>
            <w:vAlign w:val="top"/>
          </w:tcPr>
          <w:p>
            <w:pPr>
              <w:ind w:right="-340" w:rightChars="-162"/>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3.8</w:t>
            </w:r>
          </w:p>
        </w:tc>
        <w:tc>
          <w:tcPr>
            <w:tcW w:w="4719" w:type="pct"/>
            <w:gridSpan w:val="2"/>
            <w:vAlign w:val="top"/>
          </w:tcPr>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反馈远程控制软件：1套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0" w:type="pct"/>
            <w:vAlign w:val="top"/>
          </w:tcPr>
          <w:p>
            <w:pPr>
              <w:ind w:right="-340" w:rightChars="-162"/>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3.9</w:t>
            </w:r>
          </w:p>
        </w:tc>
        <w:tc>
          <w:tcPr>
            <w:tcW w:w="4719" w:type="pct"/>
            <w:gridSpan w:val="2"/>
            <w:vAlign w:val="top"/>
          </w:tcPr>
          <w:p>
            <w:pPr>
              <w:ind w:right="-340" w:rightChars="-162"/>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生物反馈治疗软件(含图片抓取播放、伪差鉴别)：6套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0" w:type="pct"/>
            <w:vAlign w:val="top"/>
          </w:tcPr>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3.10</w:t>
            </w:r>
          </w:p>
        </w:tc>
        <w:tc>
          <w:tcPr>
            <w:tcW w:w="4719" w:type="pct"/>
            <w:gridSpan w:val="2"/>
            <w:vAlign w:val="top"/>
          </w:tcPr>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IVA视听整合连续性测试软件：1套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0" w:type="pct"/>
            <w:vAlign w:val="top"/>
          </w:tcPr>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3.11</w:t>
            </w:r>
          </w:p>
        </w:tc>
        <w:tc>
          <w:tcPr>
            <w:tcW w:w="4719" w:type="pct"/>
            <w:gridSpan w:val="2"/>
            <w:vAlign w:val="top"/>
          </w:tcPr>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配套桌椅：6套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0" w:type="pct"/>
            <w:vAlign w:val="top"/>
          </w:tcPr>
          <w:p>
            <w:pPr>
              <w:ind w:right="-340" w:rightChars="-162"/>
              <w:jc w:val="left"/>
              <w:rPr>
                <w:rFonts w:hint="eastAsia" w:asciiTheme="majorEastAsia" w:hAnsiTheme="majorEastAsia" w:eastAsiaTheme="majorEastAsia" w:cstheme="minorBidi"/>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四</w:t>
            </w:r>
          </w:p>
        </w:tc>
        <w:tc>
          <w:tcPr>
            <w:tcW w:w="4719" w:type="pct"/>
            <w:gridSpan w:val="2"/>
            <w:vAlign w:val="top"/>
          </w:tcPr>
          <w:p>
            <w:pPr>
              <w:ind w:right="-340" w:rightChars="-162" w:firstLine="4096" w:firstLineChars="1700"/>
              <w:jc w:val="both"/>
              <w:rPr>
                <w:rFonts w:hint="eastAsia" w:asciiTheme="majorEastAsia" w:hAnsiTheme="majorEastAsia" w:eastAsiaTheme="majorEastAsia" w:cstheme="minorBidi"/>
                <w:b w:val="0"/>
                <w:bCs/>
                <w:kern w:val="2"/>
                <w:sz w:val="24"/>
                <w:szCs w:val="24"/>
                <w:vertAlign w:val="baseline"/>
                <w:lang w:val="en-US" w:eastAsia="zh-CN" w:bidi="ar-SA"/>
              </w:rPr>
            </w:pPr>
            <w:r>
              <w:rPr>
                <w:rFonts w:hint="eastAsia" w:asciiTheme="majorEastAsia" w:hAnsiTheme="majorEastAsia" w:eastAsiaTheme="majorEastAsia" w:cstheme="minorBidi"/>
                <w:b/>
                <w:bCs w:val="0"/>
                <w:color w:val="auto"/>
                <w:kern w:val="2"/>
                <w:sz w:val="24"/>
                <w:szCs w:val="24"/>
                <w:vertAlign w:val="baseline"/>
                <w:lang w:val="en-US" w:eastAsia="zh-CN" w:bidi="ar-SA"/>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0" w:type="pct"/>
            <w:vAlign w:val="top"/>
          </w:tcPr>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4719" w:type="pct"/>
            <w:gridSpan w:val="2"/>
            <w:vAlign w:val="top"/>
          </w:tcPr>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原厂质保期不少于（5）年,承诺质保期内免费提供电极片的更换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0" w:type="pct"/>
            <w:vAlign w:val="top"/>
          </w:tcPr>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4719" w:type="pct"/>
            <w:gridSpan w:val="2"/>
            <w:vAlign w:val="top"/>
          </w:tcPr>
          <w:p>
            <w:pPr>
              <w:ind w:right="-340" w:rightChars="-16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超出质保期后每年保修价格：无需延保费用，可免费上门维修，仅收取配件及成本费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0" w:type="pct"/>
            <w:vAlign w:val="top"/>
          </w:tcPr>
          <w:p>
            <w:pPr>
              <w:ind w:right="-340" w:rightChars="-162"/>
              <w:jc w:val="left"/>
              <w:rPr>
                <w:rFonts w:hint="eastAsia" w:asciiTheme="majorEastAsia" w:hAnsiTheme="majorEastAsia" w:eastAsiaTheme="majorEastAsia" w:cstheme="minorBidi"/>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五</w:t>
            </w:r>
          </w:p>
        </w:tc>
        <w:tc>
          <w:tcPr>
            <w:tcW w:w="4719" w:type="pct"/>
            <w:gridSpan w:val="2"/>
            <w:vAlign w:val="top"/>
          </w:tcPr>
          <w:p>
            <w:pPr>
              <w:ind w:right="-340" w:rightChars="-162"/>
              <w:jc w:val="both"/>
              <w:rPr>
                <w:rFonts w:hint="eastAsia" w:asciiTheme="majorEastAsia" w:hAnsiTheme="majorEastAsia" w:eastAsiaTheme="majorEastAsia" w:cstheme="minorBidi"/>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 xml:space="preserve">                                  </w:t>
            </w:r>
            <w:r>
              <w:rPr>
                <w:rFonts w:hint="eastAsia" w:asciiTheme="majorEastAsia" w:hAnsiTheme="majorEastAsia" w:eastAsiaTheme="majorEastAsia"/>
                <w:b/>
                <w:bCs w:val="0"/>
                <w:sz w:val="24"/>
                <w:szCs w:val="24"/>
                <w:vertAlign w:val="baseline"/>
                <w:lang w:val="en-US" w:eastAsia="zh-CN"/>
              </w:rPr>
              <w:t>配套耗材情况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0" w:type="pct"/>
            <w:vAlign w:val="top"/>
          </w:tcPr>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5.1</w:t>
            </w:r>
          </w:p>
        </w:tc>
        <w:tc>
          <w:tcPr>
            <w:tcW w:w="4719" w:type="pct"/>
            <w:gridSpan w:val="2"/>
            <w:vAlign w:val="top"/>
          </w:tcPr>
          <w:p>
            <w:pPr>
              <w:ind w:right="-340" w:rightChars="-16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电极片</w:t>
            </w:r>
          </w:p>
        </w:tc>
      </w:tr>
    </w:tbl>
    <w:p>
      <w:pPr>
        <w:spacing w:line="360" w:lineRule="auto"/>
        <w:rPr>
          <w:rFonts w:hint="default" w:eastAsiaTheme="minorEastAsia"/>
          <w:sz w:val="24"/>
          <w:szCs w:val="24"/>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MGRhMjhhYzAyYjZhMWJlMDM5N2FlN2FmMjk1NWIifQ=="/>
  </w:docVars>
  <w:rsids>
    <w:rsidRoot w:val="7B28549C"/>
    <w:rsid w:val="025263E9"/>
    <w:rsid w:val="0272202F"/>
    <w:rsid w:val="02884A18"/>
    <w:rsid w:val="036323E8"/>
    <w:rsid w:val="06CC6306"/>
    <w:rsid w:val="07A70F85"/>
    <w:rsid w:val="07AF74D8"/>
    <w:rsid w:val="08D23AB8"/>
    <w:rsid w:val="090412D1"/>
    <w:rsid w:val="099077F7"/>
    <w:rsid w:val="09D41DD9"/>
    <w:rsid w:val="0A084219"/>
    <w:rsid w:val="0F2C1D70"/>
    <w:rsid w:val="10477E7E"/>
    <w:rsid w:val="11606274"/>
    <w:rsid w:val="12424CA1"/>
    <w:rsid w:val="132F67BF"/>
    <w:rsid w:val="16C71C43"/>
    <w:rsid w:val="17F90C82"/>
    <w:rsid w:val="18B47772"/>
    <w:rsid w:val="1997072D"/>
    <w:rsid w:val="1ADC4941"/>
    <w:rsid w:val="1B216501"/>
    <w:rsid w:val="1CF475FE"/>
    <w:rsid w:val="1E572D8D"/>
    <w:rsid w:val="208E5D79"/>
    <w:rsid w:val="22416B0A"/>
    <w:rsid w:val="24303C58"/>
    <w:rsid w:val="244A2F6C"/>
    <w:rsid w:val="24720001"/>
    <w:rsid w:val="2689060F"/>
    <w:rsid w:val="27882D0A"/>
    <w:rsid w:val="28331C1B"/>
    <w:rsid w:val="291D7927"/>
    <w:rsid w:val="29B27D0E"/>
    <w:rsid w:val="2BBF7B9D"/>
    <w:rsid w:val="2D4D40E2"/>
    <w:rsid w:val="2EE34571"/>
    <w:rsid w:val="2F373657"/>
    <w:rsid w:val="2F49673C"/>
    <w:rsid w:val="2FF4421D"/>
    <w:rsid w:val="309E2EAD"/>
    <w:rsid w:val="31CB13C9"/>
    <w:rsid w:val="33C90D6F"/>
    <w:rsid w:val="34480AEF"/>
    <w:rsid w:val="345B4BC3"/>
    <w:rsid w:val="34CB373E"/>
    <w:rsid w:val="35783974"/>
    <w:rsid w:val="3590319C"/>
    <w:rsid w:val="36B24676"/>
    <w:rsid w:val="37091BF4"/>
    <w:rsid w:val="38A03D8B"/>
    <w:rsid w:val="397F500E"/>
    <w:rsid w:val="3A0D261A"/>
    <w:rsid w:val="3B807132"/>
    <w:rsid w:val="3D530186"/>
    <w:rsid w:val="411155FB"/>
    <w:rsid w:val="44FD54D1"/>
    <w:rsid w:val="47554441"/>
    <w:rsid w:val="47C74CFD"/>
    <w:rsid w:val="487B2E3B"/>
    <w:rsid w:val="4AFB588F"/>
    <w:rsid w:val="4C150DE0"/>
    <w:rsid w:val="4C652480"/>
    <w:rsid w:val="4DC70F9C"/>
    <w:rsid w:val="4E6E027D"/>
    <w:rsid w:val="5029166D"/>
    <w:rsid w:val="5118618C"/>
    <w:rsid w:val="524C6185"/>
    <w:rsid w:val="52BD60EB"/>
    <w:rsid w:val="53B23126"/>
    <w:rsid w:val="55332D15"/>
    <w:rsid w:val="570B01BC"/>
    <w:rsid w:val="59CE33A8"/>
    <w:rsid w:val="5BB87046"/>
    <w:rsid w:val="5BD901A5"/>
    <w:rsid w:val="5DE32E6C"/>
    <w:rsid w:val="5E231B5D"/>
    <w:rsid w:val="5ECF75EF"/>
    <w:rsid w:val="5F7056A6"/>
    <w:rsid w:val="61386D43"/>
    <w:rsid w:val="6378639A"/>
    <w:rsid w:val="65052EF2"/>
    <w:rsid w:val="663336A5"/>
    <w:rsid w:val="66872F15"/>
    <w:rsid w:val="669B56FC"/>
    <w:rsid w:val="66D76C6B"/>
    <w:rsid w:val="67212ADF"/>
    <w:rsid w:val="69DB0917"/>
    <w:rsid w:val="6A24756D"/>
    <w:rsid w:val="6A8A4024"/>
    <w:rsid w:val="6B2B487C"/>
    <w:rsid w:val="6BBC4465"/>
    <w:rsid w:val="6C1E36DF"/>
    <w:rsid w:val="6CE34B83"/>
    <w:rsid w:val="6D277936"/>
    <w:rsid w:val="6E873EA7"/>
    <w:rsid w:val="6F7530AC"/>
    <w:rsid w:val="6F862F53"/>
    <w:rsid w:val="70326D5C"/>
    <w:rsid w:val="70E244F7"/>
    <w:rsid w:val="72901CD2"/>
    <w:rsid w:val="73691968"/>
    <w:rsid w:val="75526B58"/>
    <w:rsid w:val="75CD2682"/>
    <w:rsid w:val="76653BC3"/>
    <w:rsid w:val="7B28549C"/>
    <w:rsid w:val="7B41219D"/>
    <w:rsid w:val="7BE14170"/>
    <w:rsid w:val="7C5727BC"/>
    <w:rsid w:val="7CB70CCD"/>
    <w:rsid w:val="7E3F6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1115</Words>
  <Characters>1247</Characters>
  <Lines>0</Lines>
  <Paragraphs>0</Paragraphs>
  <TotalTime>24</TotalTime>
  <ScaleCrop>false</ScaleCrop>
  <LinksUpToDate>false</LinksUpToDate>
  <CharactersWithSpaces>1378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2023-10-19T02:31:00Z</dcterms:created>
  <dc:creator>蚂蚁</dc:creator>
  <cp:lastModifiedBy>Nicole</cp:lastModifiedBy>
  <cp:lastPrinted>2024-06-03T03:17:00Z</cp:lastPrinted>
  <dcterms:modified xsi:type="dcterms:W3CDTF">2024-06-07T01:45:27Z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0C3B18820955411799BDCE8ABB992A62_13</vt:lpwstr>
  </property>
</Properties>
</file>