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8768" w:type="dxa"/>
        <w:jc w:val="center"/>
        <w:tblLook w:val="04A0" w:firstRow="1" w:lastRow="0" w:firstColumn="1" w:lastColumn="0" w:noHBand="0" w:noVBand="1"/>
      </w:tblPr>
      <w:tblGrid>
        <w:gridCol w:w="1255"/>
        <w:gridCol w:w="1811"/>
        <w:gridCol w:w="5702"/>
      </w:tblGrid>
      <w:tr w:rsidR="00FA7D4B" w:rsidTr="003F16EA">
        <w:trPr>
          <w:trHeight w:val="841"/>
          <w:jc w:val="center"/>
        </w:trPr>
        <w:tc>
          <w:tcPr>
            <w:tcW w:w="1255" w:type="dxa"/>
            <w:vAlign w:val="center"/>
          </w:tcPr>
          <w:p w:rsidR="00FA7D4B" w:rsidRDefault="00FA7D4B" w:rsidP="00FF211C">
            <w:pPr>
              <w:jc w:val="center"/>
              <w:rPr>
                <w:b/>
                <w:sz w:val="24"/>
                <w:szCs w:val="24"/>
              </w:rPr>
            </w:pPr>
            <w:r>
              <w:rPr>
                <w:rFonts w:hint="eastAsia"/>
                <w:b/>
                <w:sz w:val="24"/>
                <w:szCs w:val="24"/>
              </w:rPr>
              <w:t>项目名称</w:t>
            </w:r>
          </w:p>
        </w:tc>
        <w:tc>
          <w:tcPr>
            <w:tcW w:w="1811" w:type="dxa"/>
            <w:vAlign w:val="center"/>
          </w:tcPr>
          <w:p w:rsidR="00FA7D4B" w:rsidRDefault="00FA7D4B" w:rsidP="00FF211C">
            <w:pPr>
              <w:jc w:val="center"/>
              <w:rPr>
                <w:b/>
                <w:sz w:val="24"/>
                <w:szCs w:val="24"/>
              </w:rPr>
            </w:pPr>
            <w:r>
              <w:rPr>
                <w:b/>
                <w:sz w:val="24"/>
                <w:szCs w:val="24"/>
              </w:rPr>
              <w:t>产品名称</w:t>
            </w:r>
          </w:p>
        </w:tc>
        <w:tc>
          <w:tcPr>
            <w:tcW w:w="5702" w:type="dxa"/>
            <w:vAlign w:val="center"/>
          </w:tcPr>
          <w:p w:rsidR="00FA7D4B" w:rsidRDefault="00FA7D4B" w:rsidP="00FF211C">
            <w:pPr>
              <w:jc w:val="center"/>
              <w:rPr>
                <w:b/>
                <w:sz w:val="24"/>
                <w:szCs w:val="24"/>
              </w:rPr>
            </w:pPr>
            <w:r>
              <w:rPr>
                <w:rFonts w:hint="eastAsia"/>
                <w:b/>
                <w:sz w:val="24"/>
                <w:szCs w:val="24"/>
              </w:rPr>
              <w:t>产品</w:t>
            </w:r>
            <w:r>
              <w:rPr>
                <w:b/>
                <w:sz w:val="24"/>
                <w:szCs w:val="24"/>
              </w:rPr>
              <w:t>参数要求</w:t>
            </w:r>
          </w:p>
        </w:tc>
      </w:tr>
      <w:tr w:rsidR="00FA7D4B" w:rsidTr="003F16EA">
        <w:trPr>
          <w:trHeight w:val="12462"/>
          <w:jc w:val="center"/>
        </w:trPr>
        <w:tc>
          <w:tcPr>
            <w:tcW w:w="1255" w:type="dxa"/>
            <w:vAlign w:val="center"/>
          </w:tcPr>
          <w:p w:rsidR="00FA7D4B" w:rsidRDefault="002046A5" w:rsidP="002046A5">
            <w:pPr>
              <w:jc w:val="center"/>
              <w:rPr>
                <w:szCs w:val="21"/>
              </w:rPr>
            </w:pPr>
            <w:r>
              <w:rPr>
                <w:rFonts w:hint="eastAsia"/>
                <w:szCs w:val="21"/>
              </w:rPr>
              <w:t>莫干山</w:t>
            </w:r>
            <w:r w:rsidR="004B4FE1">
              <w:rPr>
                <w:rFonts w:hint="eastAsia"/>
                <w:szCs w:val="21"/>
              </w:rPr>
              <w:t>院区</w:t>
            </w:r>
            <w:r w:rsidR="00FA7D4B">
              <w:rPr>
                <w:rFonts w:hint="eastAsia"/>
                <w:szCs w:val="21"/>
              </w:rPr>
              <w:t>免疫试剂</w:t>
            </w:r>
            <w:r>
              <w:rPr>
                <w:rFonts w:asciiTheme="minorEastAsia" w:hAnsiTheme="minorEastAsia" w:hint="eastAsia"/>
                <w:bCs/>
                <w:color w:val="000000" w:themeColor="text1"/>
                <w:szCs w:val="21"/>
              </w:rPr>
              <w:t>采购项目</w:t>
            </w:r>
            <w:bookmarkStart w:id="0" w:name="_GoBack"/>
            <w:bookmarkEnd w:id="0"/>
          </w:p>
        </w:tc>
        <w:tc>
          <w:tcPr>
            <w:tcW w:w="1811" w:type="dxa"/>
            <w:vAlign w:val="center"/>
          </w:tcPr>
          <w:p w:rsidR="00FA7D4B" w:rsidRDefault="00FA7D4B" w:rsidP="00FF211C">
            <w:pPr>
              <w:rPr>
                <w:rFonts w:ascii="Times New Roman" w:hAnsi="Times New Roman" w:cs="Times New Roman"/>
                <w:szCs w:val="21"/>
              </w:rPr>
            </w:pPr>
            <w:r>
              <w:rPr>
                <w:rFonts w:ascii="Times New Roman" w:hAnsi="Times New Roman" w:cs="Times New Roman"/>
                <w:szCs w:val="21"/>
              </w:rPr>
              <w:t>免疫项目</w:t>
            </w:r>
            <w:r>
              <w:rPr>
                <w:rFonts w:ascii="Times New Roman" w:hAnsi="Times New Roman" w:cs="Times New Roman" w:hint="eastAsia"/>
                <w:szCs w:val="21"/>
              </w:rPr>
              <w:t>29</w:t>
            </w:r>
            <w:r>
              <w:rPr>
                <w:rFonts w:ascii="Times New Roman" w:hAnsi="Times New Roman" w:cs="Times New Roman" w:hint="eastAsia"/>
                <w:szCs w:val="21"/>
              </w:rPr>
              <w:t>项：</w:t>
            </w:r>
          </w:p>
          <w:p w:rsidR="00FA7D4B" w:rsidRDefault="00FA7D4B" w:rsidP="00FF211C">
            <w:pPr>
              <w:rPr>
                <w:szCs w:val="21"/>
              </w:rPr>
            </w:pPr>
            <w:r>
              <w:rPr>
                <w:rFonts w:ascii="Times New Roman" w:hAnsi="Times New Roman" w:cs="Times New Roman"/>
                <w:szCs w:val="21"/>
              </w:rPr>
              <w:t>甲胎蛋白、癌胚抗原、糖链抗原</w:t>
            </w:r>
            <w:r>
              <w:rPr>
                <w:rFonts w:ascii="Times New Roman" w:hAnsi="Times New Roman" w:cs="Times New Roman"/>
                <w:szCs w:val="21"/>
              </w:rPr>
              <w:t>125</w:t>
            </w:r>
            <w:r>
              <w:rPr>
                <w:rFonts w:ascii="Times New Roman" w:hAnsi="Times New Roman" w:cs="Times New Roman" w:hint="eastAsia"/>
                <w:szCs w:val="21"/>
              </w:rPr>
              <w:t>、</w:t>
            </w:r>
            <w:r>
              <w:rPr>
                <w:rFonts w:ascii="Times New Roman" w:hAnsi="Times New Roman" w:cs="Times New Roman"/>
                <w:szCs w:val="21"/>
              </w:rPr>
              <w:t>糖链抗原</w:t>
            </w:r>
            <w:r>
              <w:rPr>
                <w:rFonts w:ascii="Times New Roman" w:hAnsi="Times New Roman" w:cs="Times New Roman"/>
                <w:szCs w:val="21"/>
              </w:rPr>
              <w:t>199</w:t>
            </w:r>
            <w:r>
              <w:rPr>
                <w:rFonts w:ascii="Times New Roman" w:hAnsi="Times New Roman" w:cs="Times New Roman" w:hint="eastAsia"/>
                <w:szCs w:val="21"/>
              </w:rPr>
              <w:t>、</w:t>
            </w:r>
            <w:r>
              <w:rPr>
                <w:rFonts w:ascii="Times New Roman" w:hAnsi="Times New Roman" w:cs="Times New Roman"/>
                <w:szCs w:val="21"/>
              </w:rPr>
              <w:t>神经元特异性烯醇化酶（</w:t>
            </w:r>
            <w:r>
              <w:rPr>
                <w:rFonts w:ascii="Times New Roman" w:hAnsi="Times New Roman" w:cs="Times New Roman" w:hint="eastAsia"/>
                <w:szCs w:val="21"/>
              </w:rPr>
              <w:t>NSE</w:t>
            </w:r>
            <w:r>
              <w:rPr>
                <w:rFonts w:ascii="Times New Roman" w:hAnsi="Times New Roman" w:cs="Times New Roman"/>
                <w:szCs w:val="21"/>
              </w:rPr>
              <w:t>）、总三碘甲状腺原氨酸</w:t>
            </w:r>
            <w:r>
              <w:rPr>
                <w:rFonts w:ascii="Times New Roman" w:hAnsi="Times New Roman" w:cs="Times New Roman" w:hint="eastAsia"/>
                <w:szCs w:val="21"/>
              </w:rPr>
              <w:t>、</w:t>
            </w:r>
            <w:r>
              <w:rPr>
                <w:rFonts w:ascii="Times New Roman" w:hAnsi="Times New Roman" w:cs="Times New Roman"/>
                <w:szCs w:val="21"/>
              </w:rPr>
              <w:t>游离三碘甲状腺原氨酸、总甲状腺素</w:t>
            </w:r>
            <w:r>
              <w:rPr>
                <w:rFonts w:ascii="Times New Roman" w:hAnsi="Times New Roman" w:cs="Times New Roman" w:hint="eastAsia"/>
                <w:szCs w:val="21"/>
              </w:rPr>
              <w:t>、</w:t>
            </w:r>
            <w:r>
              <w:rPr>
                <w:rFonts w:ascii="Times New Roman" w:hAnsi="Times New Roman" w:cs="Times New Roman"/>
                <w:szCs w:val="21"/>
              </w:rPr>
              <w:t>游离甲状腺素</w:t>
            </w:r>
            <w:r>
              <w:rPr>
                <w:rFonts w:ascii="Times New Roman" w:hAnsi="Times New Roman" w:cs="Times New Roman" w:hint="eastAsia"/>
                <w:szCs w:val="21"/>
              </w:rPr>
              <w:t>、</w:t>
            </w:r>
            <w:r>
              <w:rPr>
                <w:rFonts w:ascii="Times New Roman" w:hAnsi="Times New Roman" w:cs="Times New Roman"/>
                <w:szCs w:val="21"/>
              </w:rPr>
              <w:t>促甲状腺激素</w:t>
            </w:r>
            <w:r>
              <w:rPr>
                <w:rFonts w:ascii="Times New Roman" w:hAnsi="Times New Roman" w:cs="Times New Roman" w:hint="eastAsia"/>
                <w:szCs w:val="21"/>
              </w:rPr>
              <w:t>、</w:t>
            </w:r>
            <w:r>
              <w:rPr>
                <w:rFonts w:ascii="Times New Roman" w:hAnsi="Times New Roman" w:cs="Times New Roman"/>
                <w:szCs w:val="21"/>
              </w:rPr>
              <w:t>甲状腺过氧化物酶抗体（</w:t>
            </w:r>
            <w:r>
              <w:rPr>
                <w:rFonts w:ascii="Times New Roman" w:hAnsi="Times New Roman" w:cs="Times New Roman"/>
                <w:szCs w:val="21"/>
              </w:rPr>
              <w:t>Anti-TPO</w:t>
            </w:r>
            <w:r>
              <w:rPr>
                <w:rFonts w:ascii="Times New Roman" w:hAnsi="Times New Roman" w:cs="Times New Roman"/>
                <w:szCs w:val="21"/>
              </w:rPr>
              <w:t>）</w:t>
            </w:r>
            <w:r>
              <w:rPr>
                <w:rFonts w:ascii="Times New Roman" w:hAnsi="Times New Roman" w:cs="Times New Roman" w:hint="eastAsia"/>
                <w:szCs w:val="21"/>
              </w:rPr>
              <w:t>、</w:t>
            </w:r>
            <w:r>
              <w:rPr>
                <w:rFonts w:ascii="Times New Roman" w:hAnsi="Times New Roman" w:cs="Times New Roman"/>
                <w:szCs w:val="21"/>
              </w:rPr>
              <w:t>甲状腺球蛋白抗体（</w:t>
            </w:r>
            <w:r>
              <w:rPr>
                <w:rFonts w:ascii="Times New Roman" w:hAnsi="Times New Roman" w:cs="Times New Roman"/>
                <w:szCs w:val="21"/>
              </w:rPr>
              <w:t>Anti-Tg</w:t>
            </w:r>
            <w:r>
              <w:rPr>
                <w:rFonts w:ascii="Times New Roman" w:hAnsi="Times New Roman" w:cs="Times New Roman"/>
                <w:szCs w:val="21"/>
              </w:rPr>
              <w:t>）、胰岛素、</w:t>
            </w:r>
            <w:r>
              <w:rPr>
                <w:rFonts w:ascii="Times New Roman" w:hAnsi="Times New Roman" w:cs="Times New Roman"/>
                <w:szCs w:val="21"/>
              </w:rPr>
              <w:t>C</w:t>
            </w:r>
            <w:r>
              <w:rPr>
                <w:rFonts w:ascii="Times New Roman" w:hAnsi="Times New Roman" w:cs="Times New Roman"/>
                <w:szCs w:val="21"/>
              </w:rPr>
              <w:t>肽</w:t>
            </w:r>
            <w:r>
              <w:rPr>
                <w:rFonts w:ascii="Times New Roman" w:hAnsi="Times New Roman" w:cs="Times New Roman" w:hint="eastAsia"/>
                <w:szCs w:val="21"/>
              </w:rPr>
              <w:t>、</w:t>
            </w:r>
            <w:r>
              <w:rPr>
                <w:rFonts w:ascii="Times New Roman" w:hAnsi="Times New Roman" w:cs="Times New Roman"/>
                <w:szCs w:val="21"/>
              </w:rPr>
              <w:t>叶酸</w:t>
            </w:r>
            <w:r>
              <w:rPr>
                <w:rFonts w:ascii="Times New Roman" w:hAnsi="Times New Roman" w:cs="Times New Roman" w:hint="eastAsia"/>
                <w:szCs w:val="21"/>
              </w:rPr>
              <w:t>、</w:t>
            </w:r>
            <w:r>
              <w:rPr>
                <w:rFonts w:ascii="Times New Roman" w:hAnsi="Times New Roman" w:cs="Times New Roman"/>
                <w:szCs w:val="21"/>
              </w:rPr>
              <w:t>维生素</w:t>
            </w:r>
            <w:r>
              <w:rPr>
                <w:rFonts w:ascii="Times New Roman" w:hAnsi="Times New Roman" w:cs="Times New Roman"/>
                <w:szCs w:val="21"/>
              </w:rPr>
              <w:t>B1</w:t>
            </w:r>
            <w:r>
              <w:rPr>
                <w:rFonts w:ascii="Times New Roman" w:hAnsi="Times New Roman" w:cs="Times New Roman" w:hint="eastAsia"/>
                <w:szCs w:val="21"/>
              </w:rPr>
              <w:t>2</w:t>
            </w:r>
            <w:r>
              <w:rPr>
                <w:rFonts w:ascii="Times New Roman" w:hAnsi="Times New Roman" w:cs="Times New Roman" w:hint="eastAsia"/>
                <w:szCs w:val="21"/>
              </w:rPr>
              <w:t>、</w:t>
            </w:r>
            <w:r>
              <w:rPr>
                <w:rFonts w:hint="eastAsia"/>
                <w:szCs w:val="21"/>
              </w:rPr>
              <w:t>雌二醇、孕酮、总睾酮、泌乳素、促黄体生成素、促卵泡生成激素、人绒毛膜促性腺激素、乙</w:t>
            </w:r>
            <w:r>
              <w:rPr>
                <w:rFonts w:ascii="Times New Roman" w:hAnsi="Times New Roman" w:cs="Times New Roman"/>
                <w:szCs w:val="21"/>
              </w:rPr>
              <w:t>型肝炎病毒表面抗原、乙型肝炎病毒表面抗体</w:t>
            </w:r>
            <w:r>
              <w:rPr>
                <w:rFonts w:ascii="Times New Roman" w:hAnsi="Times New Roman" w:cs="Times New Roman" w:hint="eastAsia"/>
                <w:szCs w:val="21"/>
              </w:rPr>
              <w:t>、</w:t>
            </w:r>
            <w:r>
              <w:rPr>
                <w:rFonts w:ascii="Times New Roman" w:hAnsi="Times New Roman" w:cs="Times New Roman"/>
                <w:szCs w:val="21"/>
              </w:rPr>
              <w:t>乙型肝炎病毒</w:t>
            </w:r>
            <w:r>
              <w:rPr>
                <w:rFonts w:ascii="Times New Roman" w:hAnsi="Times New Roman" w:cs="Times New Roman"/>
                <w:szCs w:val="21"/>
              </w:rPr>
              <w:t>e</w:t>
            </w:r>
            <w:r>
              <w:rPr>
                <w:rFonts w:ascii="Times New Roman" w:hAnsi="Times New Roman" w:cs="Times New Roman"/>
                <w:szCs w:val="21"/>
              </w:rPr>
              <w:t>抗原</w:t>
            </w:r>
            <w:r>
              <w:rPr>
                <w:rFonts w:ascii="Times New Roman" w:hAnsi="Times New Roman" w:cs="Times New Roman" w:hint="eastAsia"/>
                <w:szCs w:val="21"/>
              </w:rPr>
              <w:t>、</w:t>
            </w:r>
            <w:r>
              <w:rPr>
                <w:rFonts w:ascii="Times New Roman" w:hAnsi="Times New Roman" w:cs="Times New Roman"/>
                <w:szCs w:val="21"/>
              </w:rPr>
              <w:t>乙型肝炎病毒</w:t>
            </w:r>
            <w:r>
              <w:rPr>
                <w:rFonts w:ascii="Times New Roman" w:hAnsi="Times New Roman" w:cs="Times New Roman"/>
                <w:szCs w:val="21"/>
              </w:rPr>
              <w:t>e</w:t>
            </w:r>
            <w:r>
              <w:rPr>
                <w:rFonts w:ascii="Times New Roman" w:hAnsi="Times New Roman" w:cs="Times New Roman"/>
                <w:szCs w:val="21"/>
              </w:rPr>
              <w:t>抗体</w:t>
            </w:r>
            <w:r>
              <w:rPr>
                <w:rFonts w:ascii="Times New Roman" w:hAnsi="Times New Roman" w:cs="Times New Roman" w:hint="eastAsia"/>
                <w:szCs w:val="21"/>
              </w:rPr>
              <w:t>、</w:t>
            </w:r>
            <w:r>
              <w:rPr>
                <w:rFonts w:ascii="Times New Roman" w:hAnsi="Times New Roman" w:cs="Times New Roman"/>
                <w:szCs w:val="21"/>
              </w:rPr>
              <w:t>乙型肝炎病毒核心抗体</w:t>
            </w:r>
            <w:r>
              <w:rPr>
                <w:rFonts w:ascii="Times New Roman" w:hAnsi="Times New Roman" w:cs="Times New Roman" w:hint="eastAsia"/>
                <w:szCs w:val="21"/>
              </w:rPr>
              <w:t>、</w:t>
            </w:r>
            <w:r>
              <w:rPr>
                <w:rFonts w:ascii="Times New Roman" w:hAnsi="Times New Roman" w:cs="Times New Roman"/>
                <w:szCs w:val="21"/>
              </w:rPr>
              <w:t>乙型肝炎病毒核心抗体</w:t>
            </w:r>
            <w:r>
              <w:rPr>
                <w:rFonts w:ascii="Times New Roman" w:hAnsi="Times New Roman" w:cs="Times New Roman"/>
                <w:szCs w:val="21"/>
              </w:rPr>
              <w:t>IgM</w:t>
            </w:r>
          </w:p>
        </w:tc>
        <w:tc>
          <w:tcPr>
            <w:tcW w:w="5702" w:type="dxa"/>
            <w:vAlign w:val="center"/>
          </w:tcPr>
          <w:p w:rsidR="00FA7D4B" w:rsidRDefault="00FA7D4B" w:rsidP="00FF211C">
            <w:pPr>
              <w:adjustRightInd w:val="0"/>
              <w:snapToGrid w:val="0"/>
              <w:spacing w:line="360" w:lineRule="auto"/>
              <w:rPr>
                <w:rFonts w:asciiTheme="minorEastAsia" w:hAnsiTheme="minorEastAsia" w:cs="宋体"/>
                <w:color w:val="000000" w:themeColor="text1"/>
                <w:szCs w:val="21"/>
              </w:rPr>
            </w:pPr>
            <w:r>
              <w:rPr>
                <w:rFonts w:asciiTheme="minorEastAsia" w:hAnsiTheme="minorEastAsia" w:cs="宋体" w:hint="eastAsia"/>
                <w:b/>
                <w:color w:val="000000" w:themeColor="text1"/>
                <w:szCs w:val="21"/>
              </w:rPr>
              <w:t>一、检测方法</w:t>
            </w:r>
            <w:r>
              <w:rPr>
                <w:rFonts w:asciiTheme="minorEastAsia" w:hAnsiTheme="minorEastAsia" w:cs="宋体" w:hint="eastAsia"/>
                <w:color w:val="000000" w:themeColor="text1"/>
                <w:szCs w:val="21"/>
              </w:rPr>
              <w:t>：</w:t>
            </w:r>
          </w:p>
          <w:p w:rsidR="00FA7D4B" w:rsidRDefault="00FA7D4B" w:rsidP="00FF211C">
            <w:pPr>
              <w:adjustRightInd w:val="0"/>
              <w:snapToGrid w:val="0"/>
              <w:spacing w:line="360"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t>化学发光免疫法。</w:t>
            </w:r>
          </w:p>
          <w:p w:rsidR="00FA7D4B" w:rsidRDefault="00FA7D4B" w:rsidP="00FF211C">
            <w:pPr>
              <w:adjustRightInd w:val="0"/>
              <w:snapToGrid w:val="0"/>
              <w:spacing w:line="360" w:lineRule="auto"/>
              <w:rPr>
                <w:rFonts w:asciiTheme="minorEastAsia" w:hAnsiTheme="minorEastAsia" w:cs="宋体"/>
                <w:b/>
                <w:color w:val="000000" w:themeColor="text1"/>
                <w:szCs w:val="21"/>
              </w:rPr>
            </w:pPr>
            <w:r>
              <w:rPr>
                <w:rFonts w:asciiTheme="minorEastAsia" w:hAnsiTheme="minorEastAsia" w:cs="宋体" w:hint="eastAsia"/>
                <w:b/>
                <w:color w:val="000000" w:themeColor="text1"/>
                <w:szCs w:val="21"/>
              </w:rPr>
              <w:t xml:space="preserve">二、检测要求： </w:t>
            </w:r>
          </w:p>
          <w:p w:rsidR="00FA7D4B" w:rsidRDefault="00FA7D4B" w:rsidP="00FF211C">
            <w:pPr>
              <w:adjustRightInd w:val="0"/>
              <w:snapToGrid w:val="0"/>
              <w:spacing w:line="360" w:lineRule="auto"/>
              <w:rPr>
                <w:szCs w:val="21"/>
              </w:rPr>
            </w:pPr>
            <w:r>
              <w:rPr>
                <w:rFonts w:asciiTheme="minorEastAsia" w:hAnsiTheme="minorEastAsia" w:cs="宋体" w:hint="eastAsia"/>
                <w:color w:val="000000" w:themeColor="text1"/>
                <w:szCs w:val="21"/>
              </w:rPr>
              <w:t>1.规格要求：</w:t>
            </w:r>
            <w:r>
              <w:rPr>
                <w:rFonts w:hint="eastAsia"/>
                <w:szCs w:val="21"/>
              </w:rPr>
              <w:t>全液体型试剂，即开即用型，可提供两种及两种以上不同包装规格试剂，以满足科室运转需求。</w:t>
            </w:r>
          </w:p>
          <w:p w:rsidR="00FA7D4B" w:rsidRDefault="00FA7D4B" w:rsidP="00FF211C">
            <w:pPr>
              <w:adjustRightInd w:val="0"/>
              <w:snapToGrid w:val="0"/>
              <w:spacing w:line="360" w:lineRule="auto"/>
              <w:rPr>
                <w:szCs w:val="21"/>
              </w:rPr>
            </w:pPr>
            <w:r>
              <w:rPr>
                <w:rFonts w:asciiTheme="minorEastAsia" w:hAnsiTheme="minorEastAsia" w:cs="宋体" w:hint="eastAsia"/>
                <w:color w:val="000000" w:themeColor="text1"/>
                <w:szCs w:val="21"/>
              </w:rPr>
              <w:t>2.本项目试剂盒需提供配套校准品、稀释液、缓冲液、清洗液、反应杯等</w:t>
            </w:r>
            <w:r>
              <w:rPr>
                <w:rFonts w:hint="eastAsia"/>
                <w:szCs w:val="21"/>
              </w:rPr>
              <w:t>。</w:t>
            </w:r>
          </w:p>
          <w:p w:rsidR="00FA7D4B" w:rsidRDefault="00FA7D4B" w:rsidP="00FF211C">
            <w:pPr>
              <w:adjustRightInd w:val="0"/>
              <w:snapToGrid w:val="0"/>
              <w:spacing w:line="360"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t>3.可检测样本类型有血清、血浆等。</w:t>
            </w:r>
          </w:p>
          <w:p w:rsidR="00FA7D4B" w:rsidRDefault="00FA7D4B" w:rsidP="00FF211C">
            <w:pPr>
              <w:rPr>
                <w:szCs w:val="21"/>
              </w:rPr>
            </w:pPr>
            <w:r>
              <w:rPr>
                <w:rFonts w:asciiTheme="minorEastAsia" w:hAnsiTheme="minorEastAsia" w:cs="宋体" w:hint="eastAsia"/>
                <w:color w:val="000000" w:themeColor="text1"/>
                <w:szCs w:val="21"/>
              </w:rPr>
              <w:t xml:space="preserve">4.样本用量10-200 </w:t>
            </w:r>
            <w:r>
              <w:rPr>
                <w:rFonts w:ascii="Times New Roman" w:hAnsi="Times New Roman" w:cs="Times New Roman"/>
                <w:color w:val="000000" w:themeColor="text1"/>
                <w:szCs w:val="21"/>
              </w:rPr>
              <w:t>μL</w:t>
            </w:r>
            <w:r>
              <w:rPr>
                <w:rFonts w:asciiTheme="minorEastAsia" w:hAnsiTheme="minorEastAsia" w:cs="宋体" w:hint="eastAsia"/>
                <w:color w:val="000000" w:themeColor="text1"/>
                <w:szCs w:val="21"/>
              </w:rPr>
              <w:t xml:space="preserve"> (取决于检测项目)</w:t>
            </w:r>
            <w:r>
              <w:rPr>
                <w:rFonts w:hint="eastAsia"/>
                <w:szCs w:val="21"/>
              </w:rPr>
              <w:t xml:space="preserve"> </w:t>
            </w:r>
            <w:r>
              <w:rPr>
                <w:rFonts w:hint="eastAsia"/>
                <w:szCs w:val="21"/>
              </w:rPr>
              <w:t>。</w:t>
            </w:r>
          </w:p>
          <w:p w:rsidR="00FA7D4B" w:rsidRPr="006331C8" w:rsidRDefault="00FA7D4B" w:rsidP="00FF211C">
            <w:pPr>
              <w:spacing w:line="360" w:lineRule="auto"/>
              <w:rPr>
                <w:szCs w:val="21"/>
              </w:rPr>
            </w:pPr>
            <w:r w:rsidRPr="009108A6">
              <w:rPr>
                <w:szCs w:val="21"/>
              </w:rPr>
              <w:t>5.</w:t>
            </w:r>
            <w:r>
              <w:rPr>
                <w:rFonts w:hint="eastAsia"/>
                <w:szCs w:val="21"/>
              </w:rPr>
              <w:t xml:space="preserve"> </w:t>
            </w:r>
            <w:r w:rsidRPr="00FC1C86">
              <w:rPr>
                <w:rFonts w:asciiTheme="minorEastAsia" w:hAnsiTheme="minorEastAsia" w:cs="宋体" w:hint="eastAsia"/>
                <w:color w:val="000000" w:themeColor="text1"/>
                <w:szCs w:val="21"/>
              </w:rPr>
              <w:t>卫健委临床检验中心及浙江省临床检验中心组织的室间质评有单独分组且符合性良好。</w:t>
            </w:r>
          </w:p>
          <w:p w:rsidR="00FA7D4B" w:rsidRDefault="00FA7D4B" w:rsidP="00FF211C">
            <w:pPr>
              <w:adjustRightInd w:val="0"/>
              <w:snapToGrid w:val="0"/>
              <w:spacing w:line="360" w:lineRule="auto"/>
              <w:rPr>
                <w:rFonts w:asciiTheme="minorEastAsia" w:hAnsiTheme="minorEastAsia" w:cs="宋体"/>
                <w:color w:val="000000" w:themeColor="text1"/>
                <w:szCs w:val="21"/>
              </w:rPr>
            </w:pPr>
            <w:r>
              <w:rPr>
                <w:rFonts w:asciiTheme="minorEastAsia" w:hAnsiTheme="minorEastAsia" w:cs="宋体" w:hint="eastAsia"/>
                <w:b/>
                <w:color w:val="000000" w:themeColor="text1"/>
                <w:szCs w:val="21"/>
              </w:rPr>
              <w:t>三、技术要求：</w:t>
            </w:r>
          </w:p>
          <w:p w:rsidR="00FA7D4B" w:rsidRDefault="00FA7D4B" w:rsidP="00FF211C">
            <w:pPr>
              <w:adjustRightInd w:val="0"/>
              <w:snapToGrid w:val="0"/>
              <w:spacing w:line="360"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t>1.</w:t>
            </w:r>
            <w:r>
              <w:rPr>
                <w:rFonts w:asciiTheme="minorEastAsia" w:hAnsiTheme="minorEastAsia" w:hint="eastAsia"/>
                <w:color w:val="000000" w:themeColor="text1"/>
                <w:szCs w:val="21"/>
              </w:rPr>
              <w:t>要求为同一品牌试剂，</w:t>
            </w:r>
            <w:r>
              <w:rPr>
                <w:rFonts w:asciiTheme="minorEastAsia" w:hAnsiTheme="minorEastAsia" w:cs="宋体" w:hint="eastAsia"/>
                <w:color w:val="000000" w:themeColor="text1"/>
                <w:szCs w:val="21"/>
              </w:rPr>
              <w:t>采用抗原抗体反应。可运用一步法,二步法等测试方法及夹心法, 竞争法等测试原理。</w:t>
            </w:r>
          </w:p>
          <w:p w:rsidR="00FA7D4B" w:rsidRDefault="00FA7D4B" w:rsidP="00FF211C">
            <w:pPr>
              <w:adjustRightInd w:val="0"/>
              <w:snapToGrid w:val="0"/>
              <w:spacing w:line="360" w:lineRule="auto"/>
              <w:rPr>
                <w:rFonts w:asciiTheme="minorEastAsia" w:hAnsiTheme="minorEastAsia"/>
                <w:color w:val="000000" w:themeColor="text1"/>
                <w:szCs w:val="21"/>
              </w:rPr>
            </w:pPr>
            <w:r>
              <w:rPr>
                <w:rFonts w:asciiTheme="minorEastAsia" w:hAnsiTheme="minorEastAsia" w:hint="eastAsia"/>
                <w:color w:val="000000" w:themeColor="text1"/>
                <w:szCs w:val="21"/>
              </w:rPr>
              <w:t>2.试剂有效期≥6个月，试剂在机稳定性≥4周。</w:t>
            </w:r>
          </w:p>
          <w:p w:rsidR="00FA7D4B" w:rsidRDefault="00FA7D4B" w:rsidP="00FF211C">
            <w:pPr>
              <w:adjustRightInd w:val="0"/>
              <w:snapToGrid w:val="0"/>
              <w:spacing w:line="360" w:lineRule="auto"/>
              <w:rPr>
                <w:rFonts w:ascii="Times New Roman" w:hAnsi="Times New Roman" w:cs="Times New Roman"/>
                <w:color w:val="000000" w:themeColor="text1"/>
                <w:szCs w:val="21"/>
              </w:rPr>
            </w:pPr>
            <w:r>
              <w:rPr>
                <w:rFonts w:asciiTheme="minorEastAsia" w:hAnsiTheme="minorEastAsia" w:hint="eastAsia"/>
                <w:color w:val="000000" w:themeColor="text1"/>
                <w:szCs w:val="21"/>
              </w:rPr>
              <w:t>3.同一批次试剂定标间隔周期≥</w:t>
            </w:r>
            <w:r>
              <w:rPr>
                <w:rFonts w:ascii="Times New Roman" w:hAnsi="Times New Roman" w:cs="Times New Roman"/>
                <w:color w:val="000000" w:themeColor="text1"/>
                <w:szCs w:val="21"/>
              </w:rPr>
              <w:t>4</w:t>
            </w:r>
            <w:r>
              <w:rPr>
                <w:rFonts w:ascii="Times New Roman" w:hAnsi="Times New Roman" w:cs="Times New Roman"/>
                <w:color w:val="000000" w:themeColor="text1"/>
                <w:szCs w:val="21"/>
              </w:rPr>
              <w:t>周，</w:t>
            </w:r>
            <w:r>
              <w:rPr>
                <w:rFonts w:ascii="Times New Roman" w:hAnsi="Times New Roman" w:cs="Times New Roman"/>
                <w:color w:val="000000" w:themeColor="text1"/>
                <w:szCs w:val="21"/>
              </w:rPr>
              <w:t>2</w:t>
            </w:r>
            <w:r>
              <w:rPr>
                <w:rFonts w:ascii="Times New Roman" w:hAnsi="Times New Roman" w:cs="Times New Roman"/>
                <w:color w:val="000000" w:themeColor="text1"/>
                <w:szCs w:val="21"/>
              </w:rPr>
              <w:t>点或</w:t>
            </w:r>
            <w:r>
              <w:rPr>
                <w:rFonts w:ascii="Times New Roman" w:hAnsi="Times New Roman" w:cs="Times New Roman"/>
                <w:color w:val="000000" w:themeColor="text1"/>
                <w:szCs w:val="21"/>
              </w:rPr>
              <w:t>6</w:t>
            </w:r>
            <w:r>
              <w:rPr>
                <w:rFonts w:ascii="Times New Roman" w:hAnsi="Times New Roman" w:cs="Times New Roman"/>
                <w:color w:val="000000" w:themeColor="text1"/>
                <w:szCs w:val="21"/>
              </w:rPr>
              <w:t>点定标。</w:t>
            </w:r>
          </w:p>
          <w:p w:rsidR="00FA7D4B" w:rsidRDefault="00FA7D4B" w:rsidP="00FF211C">
            <w:pPr>
              <w:adjustRightInd w:val="0"/>
              <w:snapToGrid w:val="0"/>
              <w:spacing w:line="360" w:lineRule="auto"/>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4. </w:t>
            </w:r>
            <w:r>
              <w:rPr>
                <w:rFonts w:ascii="Times New Roman" w:hAnsi="Times New Roman" w:cs="Times New Roman"/>
                <w:color w:val="000000" w:themeColor="text1"/>
                <w:szCs w:val="21"/>
              </w:rPr>
              <w:t>总</w:t>
            </w:r>
            <w:r>
              <w:rPr>
                <w:rFonts w:ascii="Times New Roman" w:hAnsi="Times New Roman" w:cs="Times New Roman"/>
                <w:color w:val="000000" w:themeColor="text1"/>
                <w:szCs w:val="21"/>
              </w:rPr>
              <w:t>CV</w:t>
            </w:r>
            <w:r>
              <w:rPr>
                <w:rFonts w:ascii="宋体" w:eastAsia="宋体" w:hAnsi="宋体" w:cs="宋体" w:hint="eastAsia"/>
                <w:color w:val="000000" w:themeColor="text1"/>
                <w:szCs w:val="21"/>
              </w:rPr>
              <w:t>≤</w:t>
            </w:r>
            <w:r>
              <w:rPr>
                <w:rFonts w:ascii="Times New Roman" w:hAnsi="Times New Roman" w:cs="Times New Roman"/>
                <w:color w:val="000000" w:themeColor="text1"/>
                <w:szCs w:val="21"/>
              </w:rPr>
              <w:t>10%</w:t>
            </w:r>
            <w:r>
              <w:rPr>
                <w:rFonts w:ascii="Times New Roman" w:hAnsi="Times New Roman" w:cs="Times New Roman"/>
                <w:color w:val="000000" w:themeColor="text1"/>
                <w:szCs w:val="21"/>
              </w:rPr>
              <w:t>。</w:t>
            </w:r>
          </w:p>
          <w:p w:rsidR="00FA7D4B" w:rsidRDefault="00FA7D4B" w:rsidP="00FF211C">
            <w:pPr>
              <w:adjustRightInd w:val="0"/>
              <w:snapToGrid w:val="0"/>
              <w:spacing w:line="360" w:lineRule="auto"/>
              <w:rPr>
                <w:rFonts w:ascii="Times New Roman" w:hAnsi="Times New Roman" w:cs="Times New Roman"/>
                <w:szCs w:val="21"/>
              </w:rPr>
            </w:pPr>
            <w:r>
              <w:rPr>
                <w:rFonts w:hint="eastAsia"/>
                <w:szCs w:val="21"/>
              </w:rPr>
              <w:t>5</w:t>
            </w:r>
            <w:r>
              <w:rPr>
                <w:rFonts w:ascii="Times New Roman" w:hAnsi="Times New Roman" w:cs="Times New Roman"/>
                <w:szCs w:val="21"/>
              </w:rPr>
              <w:t>. HBsAg</w:t>
            </w:r>
            <w:r>
              <w:rPr>
                <w:rFonts w:ascii="Times New Roman" w:hAnsi="Times New Roman" w:cs="Times New Roman"/>
                <w:szCs w:val="21"/>
              </w:rPr>
              <w:t>分析灵敏度</w:t>
            </w:r>
            <w:r>
              <w:rPr>
                <w:rFonts w:ascii="Times New Roman" w:hAnsi="Times New Roman" w:cs="Times New Roman" w:hint="eastAsia"/>
                <w:szCs w:val="21"/>
              </w:rPr>
              <w:t>99.5</w:t>
            </w:r>
            <w:r>
              <w:rPr>
                <w:rFonts w:ascii="Times New Roman" w:hAnsi="Times New Roman" w:cs="Times New Roman"/>
                <w:szCs w:val="21"/>
              </w:rPr>
              <w:t>%</w:t>
            </w:r>
            <w:r>
              <w:rPr>
                <w:rFonts w:ascii="Times New Roman" w:hAnsi="Times New Roman" w:cs="Times New Roman"/>
                <w:szCs w:val="21"/>
              </w:rPr>
              <w:t>。</w:t>
            </w:r>
          </w:p>
          <w:p w:rsidR="00FA7D4B" w:rsidRDefault="00FA7D4B" w:rsidP="00FF211C">
            <w:pPr>
              <w:adjustRightInd w:val="0"/>
              <w:snapToGrid w:val="0"/>
              <w:spacing w:line="360" w:lineRule="auto"/>
              <w:rPr>
                <w:rFonts w:ascii="Times New Roman" w:hAnsi="Times New Roman" w:cs="Times New Roman"/>
                <w:szCs w:val="21"/>
              </w:rPr>
            </w:pPr>
            <w:r>
              <w:rPr>
                <w:rFonts w:ascii="Times New Roman" w:hAnsi="Times New Roman" w:cs="Times New Roman"/>
                <w:szCs w:val="21"/>
              </w:rPr>
              <w:t>6.HBsAb</w:t>
            </w:r>
            <w:r>
              <w:rPr>
                <w:rFonts w:ascii="Times New Roman" w:hAnsi="Times New Roman" w:cs="Times New Roman"/>
                <w:szCs w:val="21"/>
              </w:rPr>
              <w:t>线性范围</w:t>
            </w:r>
            <w:r>
              <w:rPr>
                <w:rFonts w:ascii="Times New Roman" w:hAnsi="Times New Roman" w:cs="Times New Roman"/>
                <w:szCs w:val="21"/>
              </w:rPr>
              <w:t>0-1000IU/L</w:t>
            </w:r>
            <w:r>
              <w:rPr>
                <w:rFonts w:ascii="Times New Roman" w:hAnsi="Times New Roman" w:cs="Times New Roman"/>
                <w:szCs w:val="21"/>
              </w:rPr>
              <w:t>。</w:t>
            </w:r>
          </w:p>
          <w:p w:rsidR="00FA7D4B" w:rsidRDefault="00FA7D4B" w:rsidP="00FF211C">
            <w:pPr>
              <w:adjustRightInd w:val="0"/>
              <w:snapToGrid w:val="0"/>
              <w:spacing w:line="360" w:lineRule="auto"/>
              <w:rPr>
                <w:rFonts w:ascii="Times New Roman" w:hAnsi="Times New Roman" w:cs="Times New Roman"/>
                <w:szCs w:val="21"/>
              </w:rPr>
            </w:pPr>
            <w:r>
              <w:rPr>
                <w:rFonts w:ascii="Times New Roman" w:hAnsi="Times New Roman" w:cs="Times New Roman"/>
                <w:szCs w:val="21"/>
              </w:rPr>
              <w:t>7. HBeAg</w:t>
            </w:r>
            <w:r>
              <w:rPr>
                <w:rFonts w:ascii="Times New Roman" w:hAnsi="Times New Roman" w:cs="Times New Roman"/>
                <w:szCs w:val="21"/>
              </w:rPr>
              <w:t>分析灵敏度</w:t>
            </w:r>
            <w:r>
              <w:rPr>
                <w:szCs w:val="21"/>
              </w:rPr>
              <w:t xml:space="preserve">≥ </w:t>
            </w:r>
            <w:r>
              <w:rPr>
                <w:rFonts w:ascii="Times New Roman" w:hAnsi="Times New Roman" w:cs="Times New Roman"/>
                <w:szCs w:val="21"/>
              </w:rPr>
              <w:t>99.5%</w:t>
            </w:r>
            <w:r>
              <w:rPr>
                <w:rFonts w:ascii="Times New Roman" w:hAnsi="Times New Roman" w:cs="Times New Roman"/>
                <w:szCs w:val="21"/>
              </w:rPr>
              <w:t>。</w:t>
            </w:r>
          </w:p>
          <w:p w:rsidR="00FA7D4B" w:rsidRDefault="00FA7D4B" w:rsidP="00FF211C">
            <w:pPr>
              <w:adjustRightInd w:val="0"/>
              <w:snapToGrid w:val="0"/>
              <w:spacing w:line="360" w:lineRule="auto"/>
              <w:rPr>
                <w:rFonts w:ascii="Times New Roman" w:hAnsi="Times New Roman" w:cs="Times New Roman"/>
                <w:szCs w:val="21"/>
              </w:rPr>
            </w:pPr>
            <w:r>
              <w:rPr>
                <w:rFonts w:ascii="Times New Roman" w:hAnsi="Times New Roman" w:cs="Times New Roman"/>
                <w:szCs w:val="21"/>
              </w:rPr>
              <w:t>8. HBeAb</w:t>
            </w:r>
            <w:r>
              <w:rPr>
                <w:rFonts w:ascii="Times New Roman" w:hAnsi="Times New Roman" w:cs="Times New Roman"/>
                <w:szCs w:val="21"/>
              </w:rPr>
              <w:t>分析灵敏度</w:t>
            </w:r>
            <w:r>
              <w:rPr>
                <w:szCs w:val="21"/>
              </w:rPr>
              <w:t xml:space="preserve">≥ </w:t>
            </w:r>
            <w:r>
              <w:rPr>
                <w:rFonts w:ascii="Times New Roman" w:hAnsi="Times New Roman" w:cs="Times New Roman"/>
                <w:szCs w:val="21"/>
              </w:rPr>
              <w:t>99.5%</w:t>
            </w:r>
            <w:r>
              <w:rPr>
                <w:rFonts w:ascii="Times New Roman" w:hAnsi="Times New Roman" w:cs="Times New Roman"/>
                <w:szCs w:val="21"/>
              </w:rPr>
              <w:t>。</w:t>
            </w:r>
          </w:p>
          <w:p w:rsidR="00FA7D4B" w:rsidRDefault="00FA7D4B" w:rsidP="00FF211C">
            <w:pPr>
              <w:adjustRightInd w:val="0"/>
              <w:snapToGrid w:val="0"/>
              <w:spacing w:line="360" w:lineRule="auto"/>
              <w:rPr>
                <w:rFonts w:ascii="Times New Roman" w:hAnsi="Times New Roman" w:cs="Times New Roman"/>
                <w:szCs w:val="21"/>
              </w:rPr>
            </w:pPr>
            <w:r>
              <w:rPr>
                <w:rFonts w:ascii="Times New Roman" w:hAnsi="Times New Roman" w:cs="Times New Roman"/>
                <w:szCs w:val="21"/>
              </w:rPr>
              <w:t>9. HBcAb</w:t>
            </w:r>
            <w:r>
              <w:rPr>
                <w:rFonts w:ascii="Times New Roman" w:hAnsi="Times New Roman" w:cs="Times New Roman"/>
                <w:szCs w:val="21"/>
              </w:rPr>
              <w:t>分析灵敏度</w:t>
            </w:r>
            <w:r>
              <w:rPr>
                <w:szCs w:val="21"/>
              </w:rPr>
              <w:t>≥</w:t>
            </w:r>
            <w:r>
              <w:rPr>
                <w:rFonts w:ascii="Times New Roman" w:hAnsi="Times New Roman" w:cs="Times New Roman"/>
                <w:szCs w:val="21"/>
              </w:rPr>
              <w:t xml:space="preserve"> 99.5%</w:t>
            </w:r>
            <w:r>
              <w:rPr>
                <w:rFonts w:ascii="Times New Roman" w:hAnsi="Times New Roman" w:cs="Times New Roman"/>
                <w:szCs w:val="21"/>
              </w:rPr>
              <w:t>。</w:t>
            </w:r>
          </w:p>
          <w:p w:rsidR="00FA7D4B" w:rsidRDefault="00FA7D4B" w:rsidP="00FF211C">
            <w:pPr>
              <w:adjustRightInd w:val="0"/>
              <w:snapToGrid w:val="0"/>
              <w:spacing w:line="360" w:lineRule="auto"/>
              <w:rPr>
                <w:szCs w:val="21"/>
              </w:rPr>
            </w:pPr>
            <w:r>
              <w:rPr>
                <w:rFonts w:ascii="Times New Roman" w:hAnsi="Times New Roman" w:cs="Times New Roman"/>
                <w:szCs w:val="21"/>
              </w:rPr>
              <w:t>10.HBcAb-IgM</w:t>
            </w:r>
            <w:r>
              <w:rPr>
                <w:rFonts w:ascii="Times New Roman" w:hAnsi="Times New Roman" w:cs="Times New Roman"/>
                <w:szCs w:val="21"/>
              </w:rPr>
              <w:t>分析灵敏度</w:t>
            </w:r>
            <w:r>
              <w:rPr>
                <w:rFonts w:ascii="Times New Roman" w:hAnsi="Times New Roman" w:cs="Times New Roman" w:hint="eastAsia"/>
                <w:szCs w:val="21"/>
              </w:rPr>
              <w:t>99.5</w:t>
            </w:r>
            <w:r>
              <w:rPr>
                <w:rFonts w:ascii="Times New Roman" w:hAnsi="Times New Roman" w:cs="Times New Roman"/>
                <w:szCs w:val="21"/>
              </w:rPr>
              <w:t>%</w:t>
            </w:r>
            <w:r>
              <w:rPr>
                <w:rFonts w:ascii="Times New Roman" w:hAnsi="Times New Roman" w:cs="Times New Roman"/>
                <w:szCs w:val="21"/>
              </w:rPr>
              <w:t>。</w:t>
            </w:r>
          </w:p>
          <w:p w:rsidR="00FA7D4B" w:rsidRDefault="00FA7D4B" w:rsidP="00FF211C">
            <w:pPr>
              <w:adjustRightInd w:val="0"/>
              <w:snapToGrid w:val="0"/>
              <w:spacing w:line="360" w:lineRule="auto"/>
              <w:rPr>
                <w:rFonts w:asciiTheme="minorEastAsia" w:hAnsiTheme="minorEastAsia"/>
                <w:color w:val="000000" w:themeColor="text1"/>
                <w:szCs w:val="21"/>
              </w:rPr>
            </w:pPr>
            <w:r>
              <w:rPr>
                <w:rFonts w:asciiTheme="minorEastAsia" w:hAnsiTheme="minorEastAsia" w:hint="eastAsia"/>
                <w:color w:val="000000" w:themeColor="text1"/>
                <w:szCs w:val="21"/>
              </w:rPr>
              <w:t>11.</w:t>
            </w:r>
            <w:r>
              <w:rPr>
                <w:rFonts w:hint="eastAsia"/>
                <w:szCs w:val="21"/>
              </w:rPr>
              <w:t>雌二醇</w:t>
            </w:r>
            <w:r>
              <w:rPr>
                <w:rFonts w:asciiTheme="minorEastAsia" w:hAnsiTheme="minorEastAsia" w:hint="eastAsia"/>
                <w:color w:val="000000" w:themeColor="text1"/>
                <w:szCs w:val="21"/>
              </w:rPr>
              <w:t>分析灵敏度（检测下限）≤36.7</w:t>
            </w:r>
            <w:r>
              <w:rPr>
                <w:rFonts w:asciiTheme="minorEastAsia" w:hAnsiTheme="minorEastAsia"/>
                <w:color w:val="000000" w:themeColor="text1"/>
                <w:szCs w:val="21"/>
              </w:rPr>
              <w:t>pmol/L</w:t>
            </w:r>
            <w:r>
              <w:rPr>
                <w:rFonts w:asciiTheme="minorEastAsia" w:hAnsiTheme="minorEastAsia" w:hint="eastAsia"/>
                <w:color w:val="000000" w:themeColor="text1"/>
                <w:szCs w:val="21"/>
              </w:rPr>
              <w:t>。</w:t>
            </w:r>
          </w:p>
          <w:p w:rsidR="00FA7D4B" w:rsidRDefault="00FA7D4B" w:rsidP="00FF211C">
            <w:pPr>
              <w:adjustRightInd w:val="0"/>
              <w:snapToGrid w:val="0"/>
              <w:spacing w:line="360" w:lineRule="auto"/>
              <w:rPr>
                <w:rFonts w:asciiTheme="minorEastAsia" w:hAnsiTheme="minorEastAsia"/>
                <w:color w:val="000000" w:themeColor="text1"/>
                <w:szCs w:val="21"/>
              </w:rPr>
            </w:pPr>
            <w:r>
              <w:rPr>
                <w:rFonts w:asciiTheme="minorEastAsia" w:hAnsiTheme="minorEastAsia" w:hint="eastAsia"/>
                <w:color w:val="000000" w:themeColor="text1"/>
                <w:szCs w:val="21"/>
              </w:rPr>
              <w:t>12.</w:t>
            </w:r>
            <w:r>
              <w:rPr>
                <w:rFonts w:hint="eastAsia"/>
                <w:szCs w:val="21"/>
              </w:rPr>
              <w:t>总睾酮</w:t>
            </w:r>
            <w:r>
              <w:rPr>
                <w:rFonts w:asciiTheme="minorEastAsia" w:hAnsiTheme="minorEastAsia" w:hint="eastAsia"/>
                <w:color w:val="000000" w:themeColor="text1"/>
                <w:szCs w:val="21"/>
              </w:rPr>
              <w:t>分析灵敏度（检测下限）≤0.3</w:t>
            </w:r>
            <w:r>
              <w:rPr>
                <w:rFonts w:asciiTheme="minorEastAsia" w:hAnsiTheme="minorEastAsia"/>
                <w:color w:val="000000" w:themeColor="text1"/>
                <w:szCs w:val="21"/>
              </w:rPr>
              <w:t>nmol/L</w:t>
            </w:r>
            <w:r>
              <w:rPr>
                <w:rFonts w:asciiTheme="minorEastAsia" w:hAnsiTheme="minorEastAsia" w:hint="eastAsia"/>
                <w:color w:val="000000" w:themeColor="text1"/>
                <w:szCs w:val="21"/>
              </w:rPr>
              <w:t xml:space="preserve">。 </w:t>
            </w:r>
          </w:p>
          <w:p w:rsidR="00FA7D4B" w:rsidRDefault="00FA7D4B" w:rsidP="00FF211C">
            <w:pPr>
              <w:adjustRightInd w:val="0"/>
              <w:snapToGrid w:val="0"/>
              <w:spacing w:line="360" w:lineRule="auto"/>
              <w:rPr>
                <w:rFonts w:asciiTheme="minorEastAsia" w:hAnsiTheme="minorEastAsia"/>
                <w:color w:val="000000" w:themeColor="text1"/>
                <w:szCs w:val="21"/>
              </w:rPr>
            </w:pPr>
            <w:r>
              <w:rPr>
                <w:rFonts w:asciiTheme="minorEastAsia" w:hAnsiTheme="minorEastAsia" w:hint="eastAsia"/>
                <w:color w:val="000000" w:themeColor="text1"/>
                <w:szCs w:val="21"/>
              </w:rPr>
              <w:t>13.促黄体生成素分析灵敏度（检测下限）≤0.2</w:t>
            </w:r>
            <w:r>
              <w:rPr>
                <w:rFonts w:asciiTheme="minorEastAsia" w:hAnsiTheme="minorEastAsia"/>
                <w:color w:val="000000" w:themeColor="text1"/>
                <w:szCs w:val="21"/>
              </w:rPr>
              <w:t>mIU/mL</w:t>
            </w:r>
            <w:r>
              <w:rPr>
                <w:rFonts w:asciiTheme="minorEastAsia" w:hAnsiTheme="minorEastAsia" w:hint="eastAsia"/>
                <w:color w:val="000000" w:themeColor="text1"/>
                <w:szCs w:val="21"/>
              </w:rPr>
              <w:t>。</w:t>
            </w:r>
          </w:p>
          <w:p w:rsidR="00FA7D4B" w:rsidRDefault="00FA7D4B" w:rsidP="00FF211C">
            <w:pPr>
              <w:adjustRightInd w:val="0"/>
              <w:snapToGrid w:val="0"/>
              <w:spacing w:line="360" w:lineRule="auto"/>
              <w:rPr>
                <w:szCs w:val="21"/>
              </w:rPr>
            </w:pPr>
            <w:r>
              <w:rPr>
                <w:rFonts w:asciiTheme="minorEastAsia" w:hAnsiTheme="minorEastAsia" w:hint="eastAsia"/>
                <w:color w:val="000000" w:themeColor="text1"/>
                <w:szCs w:val="21"/>
              </w:rPr>
              <w:t>14.</w:t>
            </w:r>
            <w:r>
              <w:rPr>
                <w:rFonts w:hint="eastAsia"/>
                <w:szCs w:val="21"/>
              </w:rPr>
              <w:t>促卵泡生成激素</w:t>
            </w:r>
            <w:r>
              <w:rPr>
                <w:rFonts w:asciiTheme="minorEastAsia" w:hAnsiTheme="minorEastAsia" w:hint="eastAsia"/>
                <w:color w:val="000000" w:themeColor="text1"/>
                <w:szCs w:val="21"/>
              </w:rPr>
              <w:t>分析灵敏度（检测下限）≤0.2</w:t>
            </w:r>
            <w:r>
              <w:rPr>
                <w:rFonts w:asciiTheme="minorEastAsia" w:hAnsiTheme="minorEastAsia"/>
                <w:color w:val="000000" w:themeColor="text1"/>
                <w:szCs w:val="21"/>
              </w:rPr>
              <w:t>mIU/mL</w:t>
            </w:r>
            <w:r>
              <w:rPr>
                <w:rFonts w:asciiTheme="minorEastAsia" w:hAnsiTheme="minorEastAsia" w:hint="eastAsia"/>
                <w:color w:val="000000" w:themeColor="text1"/>
                <w:szCs w:val="21"/>
              </w:rPr>
              <w:t>。</w:t>
            </w:r>
          </w:p>
          <w:p w:rsidR="00FA7D4B" w:rsidRDefault="00FA7D4B" w:rsidP="00FF211C">
            <w:pPr>
              <w:adjustRightInd w:val="0"/>
              <w:snapToGrid w:val="0"/>
              <w:spacing w:line="360" w:lineRule="auto"/>
              <w:rPr>
                <w:rFonts w:ascii="Times New Roman" w:hAnsi="Times New Roman" w:cs="Times New Roman"/>
                <w:color w:val="000000" w:themeColor="text1"/>
                <w:szCs w:val="21"/>
              </w:rPr>
            </w:pPr>
            <w:r>
              <w:rPr>
                <w:rFonts w:hint="eastAsia"/>
                <w:szCs w:val="21"/>
              </w:rPr>
              <w:t>15.</w:t>
            </w:r>
            <w:r>
              <w:rPr>
                <w:rFonts w:hint="eastAsia"/>
                <w:szCs w:val="21"/>
              </w:rPr>
              <w:t>人绒毛膜促性腺激素</w:t>
            </w:r>
            <w:r>
              <w:rPr>
                <w:rFonts w:asciiTheme="minorEastAsia" w:hAnsiTheme="minorEastAsia" w:hint="eastAsia"/>
                <w:color w:val="000000" w:themeColor="text1"/>
                <w:szCs w:val="21"/>
              </w:rPr>
              <w:t>分析灵敏度（检测下限）≤1.2</w:t>
            </w:r>
            <w:r>
              <w:rPr>
                <w:rFonts w:asciiTheme="minorEastAsia" w:hAnsiTheme="minorEastAsia"/>
                <w:color w:val="000000" w:themeColor="text1"/>
                <w:szCs w:val="21"/>
              </w:rPr>
              <w:t>mIU/mL</w:t>
            </w:r>
            <w:r>
              <w:rPr>
                <w:rFonts w:asciiTheme="minorEastAsia" w:hAnsiTheme="minorEastAsia" w:hint="eastAsia"/>
                <w:color w:val="000000" w:themeColor="text1"/>
                <w:szCs w:val="21"/>
              </w:rPr>
              <w:t>。</w:t>
            </w:r>
          </w:p>
          <w:p w:rsidR="00FA7D4B" w:rsidRDefault="00FA7D4B" w:rsidP="00FF211C">
            <w:pPr>
              <w:adjustRightInd w:val="0"/>
              <w:snapToGrid w:val="0"/>
              <w:spacing w:line="360" w:lineRule="auto"/>
              <w:rPr>
                <w:rFonts w:asciiTheme="minorEastAsia" w:hAnsiTheme="minorEastAsia" w:cs="宋体"/>
                <w:b/>
                <w:color w:val="000000" w:themeColor="text1"/>
                <w:szCs w:val="21"/>
              </w:rPr>
            </w:pPr>
            <w:r>
              <w:rPr>
                <w:rFonts w:asciiTheme="minorEastAsia" w:hAnsiTheme="minorEastAsia" w:cs="宋体" w:hint="eastAsia"/>
                <w:b/>
                <w:color w:val="000000" w:themeColor="text1"/>
                <w:szCs w:val="21"/>
              </w:rPr>
              <w:t>四、服务要求：</w:t>
            </w:r>
          </w:p>
          <w:p w:rsidR="00FA7D4B" w:rsidRDefault="00FA7D4B" w:rsidP="00FF211C">
            <w:pPr>
              <w:adjustRightInd w:val="0"/>
              <w:snapToGrid w:val="0"/>
              <w:spacing w:line="360"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t>具有完善的销售供应和售后服务的保障体系，定期提供操作培训及技术支持。</w:t>
            </w:r>
          </w:p>
          <w:p w:rsidR="00FA7D4B" w:rsidRDefault="00FA7D4B" w:rsidP="004874C7">
            <w:pPr>
              <w:rPr>
                <w:szCs w:val="21"/>
              </w:rPr>
            </w:pPr>
          </w:p>
        </w:tc>
      </w:tr>
    </w:tbl>
    <w:p w:rsidR="008B0F65" w:rsidRPr="00FA7D4B" w:rsidRDefault="008B0F65"/>
    <w:sectPr w:rsidR="008B0F65" w:rsidRPr="00FA7D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535" w:rsidRDefault="00777535" w:rsidP="002046A5">
      <w:r>
        <w:separator/>
      </w:r>
    </w:p>
  </w:endnote>
  <w:endnote w:type="continuationSeparator" w:id="0">
    <w:p w:rsidR="00777535" w:rsidRDefault="00777535" w:rsidP="0020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535" w:rsidRDefault="00777535" w:rsidP="002046A5">
      <w:r>
        <w:separator/>
      </w:r>
    </w:p>
  </w:footnote>
  <w:footnote w:type="continuationSeparator" w:id="0">
    <w:p w:rsidR="00777535" w:rsidRDefault="00777535" w:rsidP="002046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589E"/>
    <w:rsid w:val="002046A5"/>
    <w:rsid w:val="003F16EA"/>
    <w:rsid w:val="004874C7"/>
    <w:rsid w:val="004B4FE1"/>
    <w:rsid w:val="00777535"/>
    <w:rsid w:val="00822A5A"/>
    <w:rsid w:val="008B0F65"/>
    <w:rsid w:val="00F5589E"/>
    <w:rsid w:val="00FA7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4E594"/>
  <w15:chartTrackingRefBased/>
  <w15:docId w15:val="{080D3567-6C92-44D2-B6A7-E995D976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D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FA7D4B"/>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046A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046A5"/>
    <w:rPr>
      <w:sz w:val="18"/>
      <w:szCs w:val="18"/>
    </w:rPr>
  </w:style>
  <w:style w:type="paragraph" w:styleId="a6">
    <w:name w:val="footer"/>
    <w:basedOn w:val="a"/>
    <w:link w:val="a7"/>
    <w:uiPriority w:val="99"/>
    <w:unhideWhenUsed/>
    <w:rsid w:val="002046A5"/>
    <w:pPr>
      <w:tabs>
        <w:tab w:val="center" w:pos="4153"/>
        <w:tab w:val="right" w:pos="8306"/>
      </w:tabs>
      <w:snapToGrid w:val="0"/>
      <w:jc w:val="left"/>
    </w:pPr>
    <w:rPr>
      <w:sz w:val="18"/>
      <w:szCs w:val="18"/>
    </w:rPr>
  </w:style>
  <w:style w:type="character" w:customStyle="1" w:styleId="a7">
    <w:name w:val="页脚 字符"/>
    <w:basedOn w:val="a0"/>
    <w:link w:val="a6"/>
    <w:uiPriority w:val="99"/>
    <w:rsid w:val="002046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 Zhou</dc:creator>
  <cp:keywords/>
  <dc:description/>
  <cp:lastModifiedBy>Jian Zhou</cp:lastModifiedBy>
  <cp:revision>5</cp:revision>
  <dcterms:created xsi:type="dcterms:W3CDTF">2024-07-10T06:40:00Z</dcterms:created>
  <dcterms:modified xsi:type="dcterms:W3CDTF">2024-07-10T06:52:00Z</dcterms:modified>
</cp:coreProperties>
</file>