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0645ED" w:rsidTr="006732AA">
        <w:trPr>
          <w:trHeight w:val="604"/>
        </w:trPr>
        <w:tc>
          <w:tcPr>
            <w:tcW w:w="1247" w:type="pct"/>
            <w:gridSpan w:val="2"/>
          </w:tcPr>
          <w:p w:rsidR="000645ED" w:rsidRDefault="00854B50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0645ED" w:rsidRDefault="00854B50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质谱流式细胞仪</w:t>
            </w:r>
          </w:p>
        </w:tc>
      </w:tr>
      <w:tr w:rsidR="000645ED" w:rsidTr="006732AA">
        <w:trPr>
          <w:trHeight w:val="604"/>
        </w:trPr>
        <w:tc>
          <w:tcPr>
            <w:tcW w:w="1247" w:type="pct"/>
            <w:gridSpan w:val="2"/>
          </w:tcPr>
          <w:p w:rsidR="000645ED" w:rsidRDefault="00854B50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="00266045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实验检验中心白血病组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11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645ED" w:rsidTr="006732AA">
        <w:trPr>
          <w:trHeight w:val="260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用途：应用于细胞生物学、分子生物学、免疫学、血液学、药物研发、临床诊断等方面的研究，可以对单个 细胞同时进行几十个参数分析，实现对骨髓、外周血等复杂细胞群体的免疫表型、信号通路、细胞功能等方面进行全面、精细、深入的研究分析。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数量：1</w:t>
            </w:r>
            <w:r w:rsidR="006732AA"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总体参数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</w:t>
            </w:r>
          </w:p>
        </w:tc>
        <w:tc>
          <w:tcPr>
            <w:tcW w:w="4626" w:type="pct"/>
            <w:gridSpan w:val="2"/>
          </w:tcPr>
          <w:p w:rsidR="006B1946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检测原理：采用被金属同位素标记后的抗体对细胞进行标记，通过飞行时间质谱（TOF）分析各细胞上的金</w:t>
            </w:r>
          </w:p>
          <w:p w:rsidR="000645ED" w:rsidRPr="006B1946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属标签组成，进行细胞表型和功能的深入研究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检测通道：≥</w:t>
            </w:r>
            <w:r w:rsidR="00023699">
              <w:rPr>
                <w:rFonts w:asciiTheme="majorEastAsia" w:eastAsiaTheme="majorEastAsia" w:hAnsiTheme="majorEastAsia" w:hint="eastAsia"/>
                <w:sz w:val="22"/>
                <w:szCs w:val="21"/>
              </w:rPr>
              <w:t>130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可检测的质荷比：至少需包含80-209u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 w:rsidP="00570C26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质量准确性：实测相对原子质量与理论的误差在±0.2u以内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 w:rsidP="00570C26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1.5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质量稳定性：8h内实测相对原子质量与0h的误差在±0.2u以内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1.6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质量分辨率：相对原子质量与半峰宽比值R≥400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1.7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质量检出限：≤0.01ng/ml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 w:rsidP="00570C26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1.8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可用于检测的金属标签：≥50种，其中</w:t>
            </w:r>
            <w:r w:rsidR="007D75CC"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具有临床试剂证的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标记抗体的≥</w:t>
            </w:r>
            <w:r w:rsidR="007D75CC">
              <w:rPr>
                <w:rFonts w:asciiTheme="majorEastAsia" w:eastAsiaTheme="majorEastAsia" w:hAnsiTheme="majorEastAsia" w:hint="eastAsia"/>
                <w:sz w:val="22"/>
                <w:szCs w:val="21"/>
              </w:rPr>
              <w:t>45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种（请提供具体的明细）</w:t>
            </w:r>
          </w:p>
        </w:tc>
      </w:tr>
      <w:tr w:rsidR="000645ED" w:rsidTr="006732AA">
        <w:trPr>
          <w:trHeight w:val="292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1.9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针对客户自行定制的抗体，厂家可提供将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裸抗和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标签组合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成直标抗体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的服务，以消除抗体种属来源限制</w:t>
            </w:r>
          </w:p>
        </w:tc>
      </w:tr>
      <w:tr w:rsidR="000645ED" w:rsidTr="006732AA">
        <w:trPr>
          <w:trHeight w:val="90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1.10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检测灵敏度（计数率）：≥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5*10</w:t>
            </w:r>
            <w:r>
              <w:rPr>
                <w:rFonts w:asciiTheme="majorEastAsia" w:eastAsiaTheme="majorEastAsia" w:hAnsiTheme="majorEastAsia"/>
                <w:sz w:val="22"/>
                <w:szCs w:val="21"/>
                <w:vertAlign w:val="superscript"/>
              </w:rPr>
              <w:t>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cps (1ppb Tb159)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检测器采样率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1Gs/S, 8 Bit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平均细胞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采集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速度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500细胞/秒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峰值细胞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采集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速度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：≥20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00细胞/秒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动态范围：≥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4.5 个数量级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1.15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仪器稳定性：CV≤3%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1.16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携带污染率：≤0.5%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="宋体" w:hAnsi="宋体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进样系统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2.1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上样器：采用气动进样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2.2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流速：30±3μl/min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2.3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雾室温度：能稳点在200±5℃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2.4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具有高效率的冷却器，迅速散热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操作和分析软件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3.1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图形化操作界面，软件操作方便、直观，可实时监控仪器各部分的状态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3.2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具有半自主式的质谱流式 Panel 设计软件，简化 Panel 设计流程，帮助研究者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确定最优化的实验方案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3.3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采集的数据可生成 FCS 通用流式文件</w:t>
            </w:r>
          </w:p>
        </w:tc>
      </w:tr>
      <w:tr w:rsidR="000645ED" w:rsidTr="006732AA">
        <w:trPr>
          <w:trHeight w:val="90"/>
        </w:trPr>
        <w:tc>
          <w:tcPr>
            <w:tcW w:w="374" w:type="pct"/>
          </w:tcPr>
          <w:p w:rsidR="000645ED" w:rsidRDefault="00854B50" w:rsidP="00570C26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3.4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具有疾病辅助诊断系统，血液肿瘤分型、免疫细胞精细分型，无需手动圈门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3.5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具有数据标准化处理、数据预处理、算法分析、自动分析出图、自动分析报告等功能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3.6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具有数据降维处理工具，可将高维数据可视化，对数据进行总结分析，提供热图、剂量反应曲线等</w:t>
            </w:r>
          </w:p>
        </w:tc>
      </w:tr>
      <w:tr w:rsidR="006403B4" w:rsidTr="006732AA">
        <w:trPr>
          <w:trHeight w:val="287"/>
        </w:trPr>
        <w:tc>
          <w:tcPr>
            <w:tcW w:w="374" w:type="pct"/>
          </w:tcPr>
          <w:p w:rsidR="006403B4" w:rsidRDefault="001D754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3.7</w:t>
            </w:r>
          </w:p>
        </w:tc>
        <w:tc>
          <w:tcPr>
            <w:tcW w:w="4626" w:type="pct"/>
            <w:gridSpan w:val="2"/>
          </w:tcPr>
          <w:p w:rsidR="006403B4" w:rsidRDefault="006403B4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spacing w:val="-11"/>
              </w:rPr>
              <w:t>在</w:t>
            </w:r>
            <w:r>
              <w:rPr>
                <w:spacing w:val="-8"/>
              </w:rPr>
              <w:t>数据分析、数据存储等方面所涉及的计算机、服务器、软件等，均需部署在使用</w:t>
            </w:r>
            <w:r>
              <w:rPr>
                <w:spacing w:val="-4"/>
              </w:rPr>
              <w:t>单位的机房或实验室内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其他参数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4.1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整机和所使用的抗体应具有医疗器械注册证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4.2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具备丰富的质谱流式科研服务经验，可助力招标单位的学科建设、科研及临床转化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 w:rsidP="004B72B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4.3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具备质谱流式血液肿瘤免疫分型</w:t>
            </w:r>
            <w:r w:rsidR="004B72B9">
              <w:rPr>
                <w:rFonts w:asciiTheme="majorEastAsia" w:eastAsiaTheme="majorEastAsia" w:hAnsiTheme="majorEastAsia" w:hint="eastAsia"/>
                <w:sz w:val="22"/>
                <w:szCs w:val="21"/>
              </w:rPr>
              <w:t>临床实验诊断所需的替代侧向散射光信号的应用技术，以检测细胞的尺寸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质谱流式主机               1台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操作软件                   1套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数据分析软件               1套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UPS                        1台</w:t>
            </w:r>
          </w:p>
        </w:tc>
      </w:tr>
      <w:tr w:rsidR="000645ED" w:rsidTr="006732AA">
        <w:trPr>
          <w:trHeight w:val="287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高性能工作站               1台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原厂质保期不少于3年。                        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十年以上的零配件供应期。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维修响应时间≤2小时，24小时内上门维修，保修期外先维修后付款。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保修期内，每年应提供不少于2次的预防性维护保养,并提供设备维修、保养详细工作报告单。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854B50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0645ED" w:rsidTr="006732AA">
        <w:trPr>
          <w:trHeight w:val="308"/>
        </w:trPr>
        <w:tc>
          <w:tcPr>
            <w:tcW w:w="374" w:type="pct"/>
          </w:tcPr>
          <w:p w:rsidR="000645ED" w:rsidRDefault="000645ED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0645ED" w:rsidRDefault="00854B50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金属标签抗体、其他配套试剂、雾化器、矩管等</w:t>
            </w:r>
          </w:p>
        </w:tc>
      </w:tr>
    </w:tbl>
    <w:p w:rsidR="000645ED" w:rsidRPr="00B43482" w:rsidRDefault="000645ED" w:rsidP="00B43482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bookmarkStart w:id="0" w:name="_GoBack"/>
      <w:bookmarkEnd w:id="0"/>
    </w:p>
    <w:sectPr w:rsidR="000645ED" w:rsidRPr="00B4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1F" w:rsidRDefault="000F221F" w:rsidP="00266045">
      <w:r>
        <w:separator/>
      </w:r>
    </w:p>
  </w:endnote>
  <w:endnote w:type="continuationSeparator" w:id="0">
    <w:p w:rsidR="000F221F" w:rsidRDefault="000F221F" w:rsidP="0026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1F" w:rsidRDefault="000F221F" w:rsidP="00266045">
      <w:r>
        <w:separator/>
      </w:r>
    </w:p>
  </w:footnote>
  <w:footnote w:type="continuationSeparator" w:id="0">
    <w:p w:rsidR="000F221F" w:rsidRDefault="000F221F" w:rsidP="0026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3699"/>
    <w:rsid w:val="000253B9"/>
    <w:rsid w:val="00031719"/>
    <w:rsid w:val="00034AA0"/>
    <w:rsid w:val="00036B12"/>
    <w:rsid w:val="000645ED"/>
    <w:rsid w:val="000859F8"/>
    <w:rsid w:val="00086225"/>
    <w:rsid w:val="000862E8"/>
    <w:rsid w:val="000A5359"/>
    <w:rsid w:val="000B297A"/>
    <w:rsid w:val="000B3E84"/>
    <w:rsid w:val="000D4C75"/>
    <w:rsid w:val="000D75AE"/>
    <w:rsid w:val="000E3FC3"/>
    <w:rsid w:val="000F221F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D7548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66045"/>
    <w:rsid w:val="00273E96"/>
    <w:rsid w:val="00287C3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B72B9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27E52"/>
    <w:rsid w:val="00562409"/>
    <w:rsid w:val="00570C26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403B4"/>
    <w:rsid w:val="006732AA"/>
    <w:rsid w:val="0067400B"/>
    <w:rsid w:val="006908C8"/>
    <w:rsid w:val="006A5973"/>
    <w:rsid w:val="006B1946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D75CC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4B50"/>
    <w:rsid w:val="00856575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0F4C"/>
    <w:rsid w:val="009852B6"/>
    <w:rsid w:val="009A2231"/>
    <w:rsid w:val="009C09CB"/>
    <w:rsid w:val="009C0D73"/>
    <w:rsid w:val="009C19BB"/>
    <w:rsid w:val="009E38AD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AE72C7"/>
    <w:rsid w:val="00B21651"/>
    <w:rsid w:val="00B3319F"/>
    <w:rsid w:val="00B34D40"/>
    <w:rsid w:val="00B43482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0091E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10276DD"/>
    <w:rsid w:val="014F4893"/>
    <w:rsid w:val="01D8083A"/>
    <w:rsid w:val="01E21263"/>
    <w:rsid w:val="01F06197"/>
    <w:rsid w:val="01F62F61"/>
    <w:rsid w:val="022532E5"/>
    <w:rsid w:val="02493090"/>
    <w:rsid w:val="026E6F9B"/>
    <w:rsid w:val="02701262"/>
    <w:rsid w:val="02A917E5"/>
    <w:rsid w:val="02FC4449"/>
    <w:rsid w:val="03393F93"/>
    <w:rsid w:val="03C055D4"/>
    <w:rsid w:val="03CC5D27"/>
    <w:rsid w:val="0414147C"/>
    <w:rsid w:val="04A9250C"/>
    <w:rsid w:val="05373674"/>
    <w:rsid w:val="05CA4916"/>
    <w:rsid w:val="067508F8"/>
    <w:rsid w:val="06CC6306"/>
    <w:rsid w:val="077E37DC"/>
    <w:rsid w:val="07817A87"/>
    <w:rsid w:val="07A70F85"/>
    <w:rsid w:val="07D4246E"/>
    <w:rsid w:val="080E7E1D"/>
    <w:rsid w:val="087F4F62"/>
    <w:rsid w:val="08936EBE"/>
    <w:rsid w:val="09570333"/>
    <w:rsid w:val="099077F7"/>
    <w:rsid w:val="0A03752B"/>
    <w:rsid w:val="0A2C72D2"/>
    <w:rsid w:val="0AC423F6"/>
    <w:rsid w:val="0B552993"/>
    <w:rsid w:val="0C6D6E67"/>
    <w:rsid w:val="0F220EF1"/>
    <w:rsid w:val="0F2C1D70"/>
    <w:rsid w:val="0F6810EA"/>
    <w:rsid w:val="0FAB538A"/>
    <w:rsid w:val="0FB24BEB"/>
    <w:rsid w:val="10477E7E"/>
    <w:rsid w:val="105A6F37"/>
    <w:rsid w:val="10727C56"/>
    <w:rsid w:val="10953945"/>
    <w:rsid w:val="10BA58AD"/>
    <w:rsid w:val="10C167E4"/>
    <w:rsid w:val="10FF6E3B"/>
    <w:rsid w:val="11134436"/>
    <w:rsid w:val="11C12C43"/>
    <w:rsid w:val="11EC3A38"/>
    <w:rsid w:val="12484349"/>
    <w:rsid w:val="13DF3855"/>
    <w:rsid w:val="13FB325E"/>
    <w:rsid w:val="143D057B"/>
    <w:rsid w:val="14425D3E"/>
    <w:rsid w:val="144705DE"/>
    <w:rsid w:val="14F70A43"/>
    <w:rsid w:val="15476562"/>
    <w:rsid w:val="15AF052D"/>
    <w:rsid w:val="15E30851"/>
    <w:rsid w:val="1602382A"/>
    <w:rsid w:val="162B0FD3"/>
    <w:rsid w:val="16DE4CE8"/>
    <w:rsid w:val="16E07342"/>
    <w:rsid w:val="17780248"/>
    <w:rsid w:val="17944956"/>
    <w:rsid w:val="17C45A27"/>
    <w:rsid w:val="17EC425D"/>
    <w:rsid w:val="18445C0E"/>
    <w:rsid w:val="18791290"/>
    <w:rsid w:val="18813D03"/>
    <w:rsid w:val="18A575F7"/>
    <w:rsid w:val="18BB3C2D"/>
    <w:rsid w:val="18D35D30"/>
    <w:rsid w:val="191219A6"/>
    <w:rsid w:val="195B5ABF"/>
    <w:rsid w:val="198804EA"/>
    <w:rsid w:val="1A0F029D"/>
    <w:rsid w:val="1A8011C2"/>
    <w:rsid w:val="1AAA2EB8"/>
    <w:rsid w:val="1AAB4490"/>
    <w:rsid w:val="1ADC4941"/>
    <w:rsid w:val="1B723200"/>
    <w:rsid w:val="1B8C00AC"/>
    <w:rsid w:val="1B99078D"/>
    <w:rsid w:val="1BA20977"/>
    <w:rsid w:val="1C18013C"/>
    <w:rsid w:val="1C3B5CE8"/>
    <w:rsid w:val="1C883D30"/>
    <w:rsid w:val="1CFA4C43"/>
    <w:rsid w:val="1DA653E3"/>
    <w:rsid w:val="1E075E82"/>
    <w:rsid w:val="1E58665D"/>
    <w:rsid w:val="1EA27A5B"/>
    <w:rsid w:val="1EEE3723"/>
    <w:rsid w:val="1F2557B5"/>
    <w:rsid w:val="1F59095F"/>
    <w:rsid w:val="1F901EA7"/>
    <w:rsid w:val="1FAB795D"/>
    <w:rsid w:val="20210D51"/>
    <w:rsid w:val="20635A0A"/>
    <w:rsid w:val="208E5D79"/>
    <w:rsid w:val="20A534A3"/>
    <w:rsid w:val="20D8354C"/>
    <w:rsid w:val="216822CF"/>
    <w:rsid w:val="219D535D"/>
    <w:rsid w:val="21AB4107"/>
    <w:rsid w:val="22964E9C"/>
    <w:rsid w:val="22D9108B"/>
    <w:rsid w:val="23403BE4"/>
    <w:rsid w:val="235F406A"/>
    <w:rsid w:val="23907664"/>
    <w:rsid w:val="23930777"/>
    <w:rsid w:val="23C15E1B"/>
    <w:rsid w:val="23CE517C"/>
    <w:rsid w:val="23FE4FA4"/>
    <w:rsid w:val="24084702"/>
    <w:rsid w:val="24303C58"/>
    <w:rsid w:val="24653902"/>
    <w:rsid w:val="24843D95"/>
    <w:rsid w:val="24AB0691"/>
    <w:rsid w:val="24C04FDC"/>
    <w:rsid w:val="25301580"/>
    <w:rsid w:val="25423C43"/>
    <w:rsid w:val="2560231B"/>
    <w:rsid w:val="25A4045A"/>
    <w:rsid w:val="25C7361C"/>
    <w:rsid w:val="25D7633C"/>
    <w:rsid w:val="25FC3DF2"/>
    <w:rsid w:val="2648121C"/>
    <w:rsid w:val="264A49DB"/>
    <w:rsid w:val="26773DC1"/>
    <w:rsid w:val="26804A23"/>
    <w:rsid w:val="268B7B25"/>
    <w:rsid w:val="26D74630"/>
    <w:rsid w:val="27076EF2"/>
    <w:rsid w:val="275E288B"/>
    <w:rsid w:val="2777147D"/>
    <w:rsid w:val="27A32550"/>
    <w:rsid w:val="27CC3C98"/>
    <w:rsid w:val="27D627FE"/>
    <w:rsid w:val="2802590C"/>
    <w:rsid w:val="28331C1B"/>
    <w:rsid w:val="292D0766"/>
    <w:rsid w:val="29A520E4"/>
    <w:rsid w:val="29F4515F"/>
    <w:rsid w:val="29F52ACB"/>
    <w:rsid w:val="29F85218"/>
    <w:rsid w:val="2A686427"/>
    <w:rsid w:val="2A6C52BE"/>
    <w:rsid w:val="2AC06748"/>
    <w:rsid w:val="2B253619"/>
    <w:rsid w:val="2B9F0B1B"/>
    <w:rsid w:val="2BDB3655"/>
    <w:rsid w:val="2BE73506"/>
    <w:rsid w:val="2BE750A0"/>
    <w:rsid w:val="2C3072FA"/>
    <w:rsid w:val="2C3966FF"/>
    <w:rsid w:val="2C536453"/>
    <w:rsid w:val="2C9A25B7"/>
    <w:rsid w:val="2CC567B5"/>
    <w:rsid w:val="2D1E0AF2"/>
    <w:rsid w:val="2D207B2F"/>
    <w:rsid w:val="2DD37B2E"/>
    <w:rsid w:val="2E345A1F"/>
    <w:rsid w:val="2EE34571"/>
    <w:rsid w:val="2F305748"/>
    <w:rsid w:val="2F805A94"/>
    <w:rsid w:val="30405223"/>
    <w:rsid w:val="304E7940"/>
    <w:rsid w:val="30CF4367"/>
    <w:rsid w:val="3106021B"/>
    <w:rsid w:val="311741D6"/>
    <w:rsid w:val="316A6185"/>
    <w:rsid w:val="31AD27C6"/>
    <w:rsid w:val="32A0758A"/>
    <w:rsid w:val="32FF3174"/>
    <w:rsid w:val="332638F5"/>
    <w:rsid w:val="339C4E66"/>
    <w:rsid w:val="33BE302F"/>
    <w:rsid w:val="33DB60C7"/>
    <w:rsid w:val="34480AEF"/>
    <w:rsid w:val="34636D8D"/>
    <w:rsid w:val="34A8750F"/>
    <w:rsid w:val="34F30AB6"/>
    <w:rsid w:val="353274D7"/>
    <w:rsid w:val="353E2DEF"/>
    <w:rsid w:val="35624EA4"/>
    <w:rsid w:val="358E07DF"/>
    <w:rsid w:val="36323721"/>
    <w:rsid w:val="363B779A"/>
    <w:rsid w:val="36F42A35"/>
    <w:rsid w:val="37360D3C"/>
    <w:rsid w:val="37621F23"/>
    <w:rsid w:val="376F4358"/>
    <w:rsid w:val="37B7401D"/>
    <w:rsid w:val="37C52BDE"/>
    <w:rsid w:val="38066458"/>
    <w:rsid w:val="380F15E7"/>
    <w:rsid w:val="381C26EF"/>
    <w:rsid w:val="38787C50"/>
    <w:rsid w:val="38A03D8B"/>
    <w:rsid w:val="391334D5"/>
    <w:rsid w:val="392B10C5"/>
    <w:rsid w:val="395964E3"/>
    <w:rsid w:val="397F500E"/>
    <w:rsid w:val="398E34A3"/>
    <w:rsid w:val="3A2160C5"/>
    <w:rsid w:val="3AE25855"/>
    <w:rsid w:val="3B057795"/>
    <w:rsid w:val="3B2714BA"/>
    <w:rsid w:val="3B5D137F"/>
    <w:rsid w:val="3BCE2E77"/>
    <w:rsid w:val="3C1A2DCC"/>
    <w:rsid w:val="3C1B5ED6"/>
    <w:rsid w:val="3C1D60C2"/>
    <w:rsid w:val="3C237ED3"/>
    <w:rsid w:val="3C261771"/>
    <w:rsid w:val="3C3F2DF6"/>
    <w:rsid w:val="3C6050B6"/>
    <w:rsid w:val="3C92376E"/>
    <w:rsid w:val="3CF873C3"/>
    <w:rsid w:val="3D6F7523"/>
    <w:rsid w:val="3DD1570D"/>
    <w:rsid w:val="3DEF7BC0"/>
    <w:rsid w:val="3E0D6740"/>
    <w:rsid w:val="3E6249B6"/>
    <w:rsid w:val="3EB556A0"/>
    <w:rsid w:val="3F254029"/>
    <w:rsid w:val="3F57618F"/>
    <w:rsid w:val="3FE917DC"/>
    <w:rsid w:val="403C77B5"/>
    <w:rsid w:val="40706DDA"/>
    <w:rsid w:val="407133B9"/>
    <w:rsid w:val="411B561D"/>
    <w:rsid w:val="41AD023F"/>
    <w:rsid w:val="41F3318B"/>
    <w:rsid w:val="42332E3A"/>
    <w:rsid w:val="42B07FE6"/>
    <w:rsid w:val="436808C1"/>
    <w:rsid w:val="436F231C"/>
    <w:rsid w:val="43C753F0"/>
    <w:rsid w:val="44164448"/>
    <w:rsid w:val="44913E48"/>
    <w:rsid w:val="44B62081"/>
    <w:rsid w:val="44C50125"/>
    <w:rsid w:val="44DE708D"/>
    <w:rsid w:val="45800144"/>
    <w:rsid w:val="46FF1CA5"/>
    <w:rsid w:val="47CD4185"/>
    <w:rsid w:val="48757D08"/>
    <w:rsid w:val="48C604AD"/>
    <w:rsid w:val="4A0E6526"/>
    <w:rsid w:val="4A570F3A"/>
    <w:rsid w:val="4A6F4C2B"/>
    <w:rsid w:val="4AD13FA3"/>
    <w:rsid w:val="4AFB588F"/>
    <w:rsid w:val="4B0A3CE8"/>
    <w:rsid w:val="4B0E6254"/>
    <w:rsid w:val="4B68491B"/>
    <w:rsid w:val="4B83463F"/>
    <w:rsid w:val="4BEE2DF9"/>
    <w:rsid w:val="4C1A464A"/>
    <w:rsid w:val="4C4B0D80"/>
    <w:rsid w:val="4D2049A7"/>
    <w:rsid w:val="4D530C6D"/>
    <w:rsid w:val="4D64034B"/>
    <w:rsid w:val="4DE9764E"/>
    <w:rsid w:val="4E2323A9"/>
    <w:rsid w:val="4E355844"/>
    <w:rsid w:val="4F5269ED"/>
    <w:rsid w:val="4FFE1AB8"/>
    <w:rsid w:val="5118618C"/>
    <w:rsid w:val="51CA735E"/>
    <w:rsid w:val="524D3E1A"/>
    <w:rsid w:val="52917C21"/>
    <w:rsid w:val="52AD1CE3"/>
    <w:rsid w:val="532A17F1"/>
    <w:rsid w:val="5474356A"/>
    <w:rsid w:val="5475636D"/>
    <w:rsid w:val="549140F9"/>
    <w:rsid w:val="54AD6A7C"/>
    <w:rsid w:val="54D03850"/>
    <w:rsid w:val="55012924"/>
    <w:rsid w:val="55766E6E"/>
    <w:rsid w:val="564D6008"/>
    <w:rsid w:val="56985DCD"/>
    <w:rsid w:val="56A26776"/>
    <w:rsid w:val="56AB0D99"/>
    <w:rsid w:val="57030BD5"/>
    <w:rsid w:val="571B1801"/>
    <w:rsid w:val="57ED2457"/>
    <w:rsid w:val="57FB28B2"/>
    <w:rsid w:val="58766924"/>
    <w:rsid w:val="58B8154B"/>
    <w:rsid w:val="59B62110"/>
    <w:rsid w:val="59B63CDD"/>
    <w:rsid w:val="59C46691"/>
    <w:rsid w:val="59CE33A8"/>
    <w:rsid w:val="5A8B20EC"/>
    <w:rsid w:val="5AA343C5"/>
    <w:rsid w:val="5B175C39"/>
    <w:rsid w:val="5B253B95"/>
    <w:rsid w:val="5B2E6FAA"/>
    <w:rsid w:val="5B6F4A8B"/>
    <w:rsid w:val="5BB87046"/>
    <w:rsid w:val="5C556361"/>
    <w:rsid w:val="5C8E0F41"/>
    <w:rsid w:val="5CB169DD"/>
    <w:rsid w:val="5CB360BA"/>
    <w:rsid w:val="5CE420D9"/>
    <w:rsid w:val="5D287CD1"/>
    <w:rsid w:val="5D81557F"/>
    <w:rsid w:val="5D9D64D8"/>
    <w:rsid w:val="5EAA5DDA"/>
    <w:rsid w:val="5EB3228E"/>
    <w:rsid w:val="5EC96260"/>
    <w:rsid w:val="5F3A7F59"/>
    <w:rsid w:val="5F7056A6"/>
    <w:rsid w:val="601B2F68"/>
    <w:rsid w:val="602403E1"/>
    <w:rsid w:val="602F2A3B"/>
    <w:rsid w:val="610A61B4"/>
    <w:rsid w:val="610E7EC5"/>
    <w:rsid w:val="61386D43"/>
    <w:rsid w:val="61671D60"/>
    <w:rsid w:val="6220263B"/>
    <w:rsid w:val="62257C51"/>
    <w:rsid w:val="6258453F"/>
    <w:rsid w:val="628663E8"/>
    <w:rsid w:val="62B16217"/>
    <w:rsid w:val="62B17F89"/>
    <w:rsid w:val="62D93A68"/>
    <w:rsid w:val="63263A2B"/>
    <w:rsid w:val="63416D0D"/>
    <w:rsid w:val="63AE3C3F"/>
    <w:rsid w:val="641963B7"/>
    <w:rsid w:val="642F2BD8"/>
    <w:rsid w:val="64940FA4"/>
    <w:rsid w:val="649B41FB"/>
    <w:rsid w:val="649C7F73"/>
    <w:rsid w:val="64C74A3A"/>
    <w:rsid w:val="64DE2339"/>
    <w:rsid w:val="65856C59"/>
    <w:rsid w:val="65C75CCB"/>
    <w:rsid w:val="663336A5"/>
    <w:rsid w:val="664C4321"/>
    <w:rsid w:val="66A51887"/>
    <w:rsid w:val="66CF67CA"/>
    <w:rsid w:val="67212ADF"/>
    <w:rsid w:val="673F7A07"/>
    <w:rsid w:val="6841453A"/>
    <w:rsid w:val="68C1269E"/>
    <w:rsid w:val="68D45CDE"/>
    <w:rsid w:val="68E322A8"/>
    <w:rsid w:val="693C44DA"/>
    <w:rsid w:val="69D44E20"/>
    <w:rsid w:val="69DB0917"/>
    <w:rsid w:val="69FF347E"/>
    <w:rsid w:val="6A154662"/>
    <w:rsid w:val="6AD77D6E"/>
    <w:rsid w:val="6AE42367"/>
    <w:rsid w:val="6B960D64"/>
    <w:rsid w:val="6BAA11C7"/>
    <w:rsid w:val="6C8815DE"/>
    <w:rsid w:val="6C9A6B3A"/>
    <w:rsid w:val="6CCB7647"/>
    <w:rsid w:val="6D9263B7"/>
    <w:rsid w:val="6DE54739"/>
    <w:rsid w:val="6E4050A7"/>
    <w:rsid w:val="6E483849"/>
    <w:rsid w:val="6E873EA7"/>
    <w:rsid w:val="6EC6695C"/>
    <w:rsid w:val="6ECE6145"/>
    <w:rsid w:val="6F5D0F98"/>
    <w:rsid w:val="70326D5C"/>
    <w:rsid w:val="70441BEA"/>
    <w:rsid w:val="71B60F15"/>
    <w:rsid w:val="71D376CA"/>
    <w:rsid w:val="72127AC6"/>
    <w:rsid w:val="72901CD2"/>
    <w:rsid w:val="72D97771"/>
    <w:rsid w:val="72EB27F1"/>
    <w:rsid w:val="730E7401"/>
    <w:rsid w:val="73691968"/>
    <w:rsid w:val="7389646E"/>
    <w:rsid w:val="739915E2"/>
    <w:rsid w:val="73D04950"/>
    <w:rsid w:val="73E72559"/>
    <w:rsid w:val="74343D24"/>
    <w:rsid w:val="744D3038"/>
    <w:rsid w:val="74C47A8E"/>
    <w:rsid w:val="752F55C5"/>
    <w:rsid w:val="75307EC2"/>
    <w:rsid w:val="75C80BC8"/>
    <w:rsid w:val="76037E52"/>
    <w:rsid w:val="76892E8F"/>
    <w:rsid w:val="76BF399C"/>
    <w:rsid w:val="76C23869"/>
    <w:rsid w:val="772667D0"/>
    <w:rsid w:val="77456248"/>
    <w:rsid w:val="78281DF2"/>
    <w:rsid w:val="784862BE"/>
    <w:rsid w:val="78945B8E"/>
    <w:rsid w:val="797F0137"/>
    <w:rsid w:val="79B67B89"/>
    <w:rsid w:val="7A85177D"/>
    <w:rsid w:val="7AD55A85"/>
    <w:rsid w:val="7B257828"/>
    <w:rsid w:val="7B28549C"/>
    <w:rsid w:val="7B340AAD"/>
    <w:rsid w:val="7B41219D"/>
    <w:rsid w:val="7BB340C8"/>
    <w:rsid w:val="7C4116D4"/>
    <w:rsid w:val="7C5A2796"/>
    <w:rsid w:val="7C7A50A1"/>
    <w:rsid w:val="7C7F4AD7"/>
    <w:rsid w:val="7CBA4FE2"/>
    <w:rsid w:val="7D3624B9"/>
    <w:rsid w:val="7D5316BF"/>
    <w:rsid w:val="7D7611DC"/>
    <w:rsid w:val="7DAF5CE9"/>
    <w:rsid w:val="7E1A41A3"/>
    <w:rsid w:val="7E6E1F5F"/>
    <w:rsid w:val="7E70004F"/>
    <w:rsid w:val="7E7A09F8"/>
    <w:rsid w:val="7E812A19"/>
    <w:rsid w:val="7EA63A70"/>
    <w:rsid w:val="7EC42148"/>
    <w:rsid w:val="7F370B6C"/>
    <w:rsid w:val="7F590AE3"/>
    <w:rsid w:val="7F9D30C5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209</cp:revision>
  <dcterms:created xsi:type="dcterms:W3CDTF">2023-11-07T07:38:00Z</dcterms:created>
  <dcterms:modified xsi:type="dcterms:W3CDTF">2024-07-14T09:18:00Z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