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554" w:type="pct"/>
        <w:tblLook w:val="04A0" w:firstRow="1" w:lastRow="0" w:firstColumn="1" w:lastColumn="0" w:noHBand="0" w:noVBand="1"/>
      </w:tblPr>
      <w:tblGrid>
        <w:gridCol w:w="859"/>
        <w:gridCol w:w="1938"/>
        <w:gridCol w:w="8382"/>
      </w:tblGrid>
      <w:tr w:rsidR="00126435" w14:paraId="24E7C4BD" w14:textId="77777777" w:rsidTr="00A44DB5">
        <w:trPr>
          <w:trHeight w:val="604"/>
        </w:trPr>
        <w:tc>
          <w:tcPr>
            <w:tcW w:w="1251" w:type="pct"/>
            <w:gridSpan w:val="2"/>
          </w:tcPr>
          <w:p w14:paraId="5858A6A3" w14:textId="77777777" w:rsidR="00126435" w:rsidRDefault="00A44DB5">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49" w:type="pct"/>
          </w:tcPr>
          <w:p w14:paraId="154B2F4E" w14:textId="77777777" w:rsidR="00126435" w:rsidRDefault="00A44DB5">
            <w:pPr>
              <w:ind w:rightChars="-162" w:right="-340"/>
              <w:jc w:val="center"/>
              <w:rPr>
                <w:rFonts w:asciiTheme="majorEastAsia" w:eastAsiaTheme="majorEastAsia" w:hAnsiTheme="majorEastAsia"/>
                <w:b/>
                <w:sz w:val="24"/>
                <w:szCs w:val="24"/>
              </w:rPr>
            </w:pPr>
            <w:r>
              <w:rPr>
                <w:rFonts w:asciiTheme="majorEastAsia" w:eastAsiaTheme="majorEastAsia" w:hAnsiTheme="majorEastAsia" w:hint="eastAsia"/>
                <w:b/>
                <w:sz w:val="28"/>
                <w:szCs w:val="24"/>
              </w:rPr>
              <w:t>飞利浦</w:t>
            </w:r>
            <w:r>
              <w:rPr>
                <w:rFonts w:asciiTheme="majorEastAsia" w:eastAsiaTheme="majorEastAsia" w:hAnsiTheme="majorEastAsia" w:hint="eastAsia"/>
                <w:b/>
                <w:sz w:val="28"/>
                <w:szCs w:val="24"/>
              </w:rPr>
              <w:t>3.0T MRI</w:t>
            </w:r>
            <w:r>
              <w:rPr>
                <w:rFonts w:asciiTheme="majorEastAsia" w:eastAsiaTheme="majorEastAsia" w:hAnsiTheme="majorEastAsia" w:hint="eastAsia"/>
                <w:b/>
                <w:sz w:val="28"/>
                <w:szCs w:val="24"/>
              </w:rPr>
              <w:t>保修</w:t>
            </w:r>
          </w:p>
        </w:tc>
      </w:tr>
      <w:tr w:rsidR="00126435" w14:paraId="7FF1D024" w14:textId="77777777" w:rsidTr="00A44DB5">
        <w:trPr>
          <w:trHeight w:val="604"/>
        </w:trPr>
        <w:tc>
          <w:tcPr>
            <w:tcW w:w="1251" w:type="pct"/>
            <w:gridSpan w:val="2"/>
          </w:tcPr>
          <w:p w14:paraId="7174F9D8" w14:textId="77777777" w:rsidR="00126435" w:rsidRDefault="00A44DB5">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49" w:type="pct"/>
          </w:tcPr>
          <w:p w14:paraId="3C88FA08" w14:textId="77777777" w:rsidR="00126435" w:rsidRDefault="00A44DB5">
            <w:pPr>
              <w:ind w:rightChars="-162" w:right="-340"/>
              <w:jc w:val="center"/>
            </w:pPr>
            <w:r>
              <w:rPr>
                <w:rFonts w:asciiTheme="majorEastAsia" w:eastAsiaTheme="majorEastAsia" w:hAnsiTheme="majorEastAsia"/>
                <w:b/>
                <w:sz w:val="28"/>
                <w:szCs w:val="24"/>
              </w:rPr>
              <w:t>放射科</w:t>
            </w:r>
          </w:p>
        </w:tc>
      </w:tr>
      <w:tr w:rsidR="00126435" w14:paraId="32DD7EF7" w14:textId="77777777" w:rsidTr="00A44DB5">
        <w:trPr>
          <w:trHeight w:val="287"/>
        </w:trPr>
        <w:tc>
          <w:tcPr>
            <w:tcW w:w="384" w:type="pct"/>
          </w:tcPr>
          <w:p w14:paraId="245D4736" w14:textId="77777777" w:rsidR="00126435" w:rsidRDefault="00A44DB5">
            <w:pPr>
              <w:ind w:rightChars="-162" w:right="-340" w:firstLineChars="100" w:firstLine="241"/>
              <w:jc w:val="left"/>
              <w:rPr>
                <w:rFonts w:asciiTheme="majorEastAsia" w:eastAsiaTheme="majorEastAsia" w:hAnsiTheme="majorEastAsia"/>
                <w:bCs/>
                <w:sz w:val="24"/>
                <w:szCs w:val="24"/>
              </w:rPr>
            </w:pPr>
            <w:bookmarkStart w:id="0" w:name="_GoBack"/>
            <w:bookmarkEnd w:id="0"/>
            <w:proofErr w:type="gramStart"/>
            <w:r>
              <w:rPr>
                <w:rFonts w:asciiTheme="majorEastAsia" w:eastAsiaTheme="majorEastAsia" w:hAnsiTheme="majorEastAsia" w:hint="eastAsia"/>
                <w:b/>
                <w:sz w:val="24"/>
                <w:szCs w:val="24"/>
              </w:rPr>
              <w:t>一</w:t>
            </w:r>
            <w:proofErr w:type="gramEnd"/>
          </w:p>
        </w:tc>
        <w:tc>
          <w:tcPr>
            <w:tcW w:w="4616" w:type="pct"/>
            <w:gridSpan w:val="2"/>
          </w:tcPr>
          <w:p w14:paraId="7B7F8D80"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hint="eastAsia"/>
                <w:b/>
                <w:sz w:val="24"/>
                <w:szCs w:val="24"/>
              </w:rPr>
              <w:t>保修设备</w:t>
            </w:r>
          </w:p>
        </w:tc>
      </w:tr>
      <w:tr w:rsidR="00126435" w14:paraId="0665FF2B" w14:textId="77777777" w:rsidTr="00A44DB5">
        <w:trPr>
          <w:trHeight w:val="1099"/>
        </w:trPr>
        <w:tc>
          <w:tcPr>
            <w:tcW w:w="384" w:type="pct"/>
          </w:tcPr>
          <w:p w14:paraId="3250FCA1"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616" w:type="pct"/>
            <w:gridSpan w:val="2"/>
          </w:tcPr>
          <w:tbl>
            <w:tblPr>
              <w:tblStyle w:val="a5"/>
              <w:tblpPr w:leftFromText="180" w:rightFromText="180" w:horzAnchor="margin" w:tblpY="288"/>
              <w:tblOverlap w:val="never"/>
              <w:tblW w:w="0" w:type="auto"/>
              <w:tblLook w:val="04A0" w:firstRow="1" w:lastRow="0" w:firstColumn="1" w:lastColumn="0" w:noHBand="0" w:noVBand="1"/>
            </w:tblPr>
            <w:tblGrid>
              <w:gridCol w:w="1680"/>
              <w:gridCol w:w="1680"/>
              <w:gridCol w:w="1680"/>
              <w:gridCol w:w="1680"/>
              <w:gridCol w:w="1681"/>
              <w:gridCol w:w="1681"/>
            </w:tblGrid>
            <w:tr w:rsidR="00126435" w14:paraId="42AC3FDD" w14:textId="77777777">
              <w:tc>
                <w:tcPr>
                  <w:tcW w:w="1680" w:type="dxa"/>
                </w:tcPr>
                <w:p w14:paraId="49728E16"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设备</w:t>
                  </w:r>
                </w:p>
              </w:tc>
              <w:tc>
                <w:tcPr>
                  <w:tcW w:w="1680" w:type="dxa"/>
                </w:tcPr>
                <w:p w14:paraId="21ACC972"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品牌</w:t>
                  </w:r>
                </w:p>
              </w:tc>
              <w:tc>
                <w:tcPr>
                  <w:tcW w:w="1680" w:type="dxa"/>
                </w:tcPr>
                <w:p w14:paraId="67A60DE2"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型号</w:t>
                  </w:r>
                </w:p>
              </w:tc>
              <w:tc>
                <w:tcPr>
                  <w:tcW w:w="1680" w:type="dxa"/>
                </w:tcPr>
                <w:p w14:paraId="085691BE"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序列号</w:t>
                  </w:r>
                </w:p>
              </w:tc>
              <w:tc>
                <w:tcPr>
                  <w:tcW w:w="1681" w:type="dxa"/>
                </w:tcPr>
                <w:p w14:paraId="45FF3855"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台数</w:t>
                  </w:r>
                </w:p>
              </w:tc>
              <w:tc>
                <w:tcPr>
                  <w:tcW w:w="1681" w:type="dxa"/>
                </w:tcPr>
                <w:p w14:paraId="64AD666C"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院区</w:t>
                  </w:r>
                </w:p>
              </w:tc>
            </w:tr>
            <w:tr w:rsidR="00126435" w14:paraId="2639CF9F" w14:textId="77777777">
              <w:tc>
                <w:tcPr>
                  <w:tcW w:w="1680" w:type="dxa"/>
                </w:tcPr>
                <w:p w14:paraId="73DEBA1D"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MRI</w:t>
                  </w:r>
                </w:p>
              </w:tc>
              <w:tc>
                <w:tcPr>
                  <w:tcW w:w="1680" w:type="dxa"/>
                </w:tcPr>
                <w:p w14:paraId="3A398C8D"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PHILIPS</w:t>
                  </w:r>
                </w:p>
              </w:tc>
              <w:tc>
                <w:tcPr>
                  <w:tcW w:w="1680" w:type="dxa"/>
                </w:tcPr>
                <w:p w14:paraId="16FAF269"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Achieva3.0T</w:t>
                  </w:r>
                </w:p>
              </w:tc>
              <w:tc>
                <w:tcPr>
                  <w:tcW w:w="1680" w:type="dxa"/>
                </w:tcPr>
                <w:p w14:paraId="206BD638"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38344</w:t>
                  </w:r>
                </w:p>
              </w:tc>
              <w:tc>
                <w:tcPr>
                  <w:tcW w:w="1681" w:type="dxa"/>
                </w:tcPr>
                <w:p w14:paraId="388A137A"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1681" w:type="dxa"/>
                </w:tcPr>
                <w:p w14:paraId="0EEC6AE9" w14:textId="77777777" w:rsidR="00126435" w:rsidRDefault="00A44DB5">
                  <w:pPr>
                    <w:ind w:rightChars="-162" w:right="-340"/>
                    <w:rPr>
                      <w:rFonts w:asciiTheme="majorEastAsia" w:eastAsiaTheme="majorEastAsia" w:hAnsiTheme="majorEastAsia"/>
                      <w:bCs/>
                      <w:sz w:val="24"/>
                      <w:szCs w:val="24"/>
                    </w:rPr>
                  </w:pPr>
                  <w:r>
                    <w:rPr>
                      <w:rFonts w:asciiTheme="majorEastAsia" w:eastAsiaTheme="majorEastAsia" w:hAnsiTheme="majorEastAsia"/>
                      <w:bCs/>
                      <w:sz w:val="24"/>
                      <w:szCs w:val="24"/>
                    </w:rPr>
                    <w:t>滨江</w:t>
                  </w:r>
                </w:p>
              </w:tc>
            </w:tr>
          </w:tbl>
          <w:p w14:paraId="049B4AB3" w14:textId="77777777" w:rsidR="00126435" w:rsidRDefault="00126435">
            <w:pPr>
              <w:ind w:rightChars="-162" w:right="-340"/>
              <w:rPr>
                <w:rFonts w:asciiTheme="majorEastAsia" w:eastAsiaTheme="majorEastAsia" w:hAnsiTheme="majorEastAsia"/>
                <w:bCs/>
                <w:sz w:val="24"/>
                <w:szCs w:val="24"/>
              </w:rPr>
            </w:pPr>
          </w:p>
        </w:tc>
      </w:tr>
      <w:tr w:rsidR="00126435" w14:paraId="38F51C80" w14:textId="77777777" w:rsidTr="00A44DB5">
        <w:trPr>
          <w:trHeight w:val="287"/>
        </w:trPr>
        <w:tc>
          <w:tcPr>
            <w:tcW w:w="384" w:type="pct"/>
          </w:tcPr>
          <w:p w14:paraId="05167FB1" w14:textId="77777777" w:rsidR="00126435" w:rsidRDefault="00A44DB5">
            <w:pPr>
              <w:ind w:rightChars="-162" w:right="-34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616" w:type="pct"/>
            <w:gridSpan w:val="2"/>
          </w:tcPr>
          <w:p w14:paraId="697C25B9" w14:textId="77777777" w:rsidR="00126435" w:rsidRDefault="00A44DB5">
            <w:pPr>
              <w:ind w:rightChars="86" w:right="181"/>
              <w:rPr>
                <w:rFonts w:asciiTheme="majorEastAsia" w:eastAsiaTheme="majorEastAsia" w:hAnsiTheme="majorEastAsia"/>
                <w:b/>
                <w:sz w:val="24"/>
                <w:szCs w:val="24"/>
              </w:rPr>
            </w:pPr>
            <w:r>
              <w:rPr>
                <w:rFonts w:asciiTheme="majorEastAsia" w:eastAsiaTheme="majorEastAsia" w:hAnsiTheme="majorEastAsia" w:hint="eastAsia"/>
                <w:b/>
                <w:sz w:val="24"/>
                <w:szCs w:val="24"/>
              </w:rPr>
              <w:t>保修服务要求</w:t>
            </w:r>
          </w:p>
        </w:tc>
      </w:tr>
      <w:tr w:rsidR="00126435" w14:paraId="236E72D6" w14:textId="77777777" w:rsidTr="00A44DB5">
        <w:trPr>
          <w:trHeight w:val="287"/>
        </w:trPr>
        <w:tc>
          <w:tcPr>
            <w:tcW w:w="384" w:type="pct"/>
          </w:tcPr>
          <w:p w14:paraId="5FB8CD1A"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w:t>
            </w:r>
          </w:p>
        </w:tc>
        <w:tc>
          <w:tcPr>
            <w:tcW w:w="4616" w:type="pct"/>
            <w:gridSpan w:val="2"/>
          </w:tcPr>
          <w:p w14:paraId="0B51C286" w14:textId="77777777" w:rsidR="00126435" w:rsidRDefault="00A44DB5">
            <w:pPr>
              <w:rPr>
                <w:rFonts w:asciiTheme="majorEastAsia" w:eastAsiaTheme="majorEastAsia" w:hAnsiTheme="majorEastAsia"/>
                <w:bCs/>
                <w:sz w:val="24"/>
                <w:szCs w:val="24"/>
              </w:rPr>
            </w:pPr>
            <w:r>
              <w:rPr>
                <w:rFonts w:ascii="宋体" w:eastAsia="宋体" w:hAnsi="宋体" w:cs="宋体" w:hint="eastAsia"/>
                <w:color w:val="000000" w:themeColor="text1"/>
                <w:sz w:val="24"/>
                <w:szCs w:val="24"/>
              </w:rPr>
              <w:t>整机保修期限：叁年。</w:t>
            </w:r>
          </w:p>
        </w:tc>
      </w:tr>
      <w:tr w:rsidR="00126435" w14:paraId="6FE26C88" w14:textId="77777777" w:rsidTr="00A44DB5">
        <w:trPr>
          <w:trHeight w:val="287"/>
        </w:trPr>
        <w:tc>
          <w:tcPr>
            <w:tcW w:w="384" w:type="pct"/>
          </w:tcPr>
          <w:p w14:paraId="4CBF9B84"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2.2</w:t>
            </w:r>
          </w:p>
        </w:tc>
        <w:tc>
          <w:tcPr>
            <w:tcW w:w="4616" w:type="pct"/>
            <w:gridSpan w:val="2"/>
          </w:tcPr>
          <w:p w14:paraId="7677D9BA" w14:textId="77777777" w:rsidR="00126435" w:rsidRDefault="00A44DB5">
            <w:pPr>
              <w:rPr>
                <w:rFonts w:asciiTheme="majorEastAsia" w:eastAsiaTheme="majorEastAsia" w:hAnsiTheme="majorEastAsia"/>
                <w:bCs/>
                <w:sz w:val="24"/>
                <w:szCs w:val="24"/>
              </w:rPr>
            </w:pPr>
            <w:r>
              <w:rPr>
                <w:rFonts w:ascii="宋体" w:eastAsia="宋体" w:hAnsi="宋体" w:cs="宋体" w:hint="eastAsia"/>
                <w:sz w:val="24"/>
                <w:szCs w:val="24"/>
              </w:rPr>
              <w:t>整机保修包含磁体，梯度，射频等所有原厂设备，以及水冷空调等第三方辅助设备，随机配置的工作站等（第三方产品及其劳务、再安装及所需备品备件除外）、安全检查、质量保证、</w:t>
            </w:r>
            <w:r>
              <w:rPr>
                <w:rFonts w:ascii="宋体" w:eastAsia="宋体" w:hAnsi="宋体" w:cs="宋体" w:hint="eastAsia"/>
                <w:sz w:val="24"/>
                <w:szCs w:val="24"/>
              </w:rPr>
              <w:t>24</w:t>
            </w:r>
            <w:r>
              <w:rPr>
                <w:rFonts w:ascii="宋体" w:eastAsia="宋体" w:hAnsi="宋体" w:cs="宋体" w:hint="eastAsia"/>
                <w:sz w:val="24"/>
                <w:szCs w:val="24"/>
              </w:rPr>
              <w:t>小时＊</w:t>
            </w:r>
            <w:r>
              <w:rPr>
                <w:rFonts w:ascii="宋体" w:eastAsia="宋体" w:hAnsi="宋体" w:cs="宋体" w:hint="eastAsia"/>
                <w:sz w:val="24"/>
                <w:szCs w:val="24"/>
              </w:rPr>
              <w:t>365</w:t>
            </w:r>
            <w:r>
              <w:rPr>
                <w:rFonts w:ascii="宋体" w:eastAsia="宋体" w:hAnsi="宋体" w:cs="宋体" w:hint="eastAsia"/>
                <w:sz w:val="24"/>
                <w:szCs w:val="24"/>
              </w:rPr>
              <w:t>天热线支持、远程服务、预防性保养（含预防性保养耗材）。</w:t>
            </w:r>
          </w:p>
        </w:tc>
      </w:tr>
      <w:tr w:rsidR="00126435" w14:paraId="54E00D28" w14:textId="77777777" w:rsidTr="00A44DB5">
        <w:trPr>
          <w:trHeight w:val="287"/>
        </w:trPr>
        <w:tc>
          <w:tcPr>
            <w:tcW w:w="384" w:type="pct"/>
          </w:tcPr>
          <w:p w14:paraId="3C8D3776"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2.3</w:t>
            </w:r>
          </w:p>
        </w:tc>
        <w:tc>
          <w:tcPr>
            <w:tcW w:w="4616" w:type="pct"/>
            <w:gridSpan w:val="2"/>
          </w:tcPr>
          <w:p w14:paraId="749CA3AC" w14:textId="77777777" w:rsidR="00126435" w:rsidRDefault="00A44DB5">
            <w:pPr>
              <w:rPr>
                <w:rFonts w:asciiTheme="majorEastAsia" w:eastAsiaTheme="majorEastAsia" w:hAnsiTheme="majorEastAsia"/>
                <w:bCs/>
                <w:sz w:val="24"/>
                <w:szCs w:val="24"/>
              </w:rPr>
            </w:pPr>
            <w:r>
              <w:rPr>
                <w:rFonts w:ascii="宋体" w:eastAsia="宋体" w:hAnsi="宋体" w:cs="宋体" w:hint="eastAsia"/>
                <w:color w:val="000000" w:themeColor="text1"/>
                <w:sz w:val="24"/>
                <w:szCs w:val="24"/>
              </w:rPr>
              <w:t>保修期内免费提供所有配件（第三方产品及其劳务、再安装及所需备品备件除外）及需定期更换的耗品，所有配件需为经过原厂检测认证的合格产品。</w:t>
            </w:r>
          </w:p>
        </w:tc>
      </w:tr>
      <w:tr w:rsidR="00126435" w14:paraId="21738A40" w14:textId="77777777" w:rsidTr="00A44DB5">
        <w:trPr>
          <w:trHeight w:val="287"/>
        </w:trPr>
        <w:tc>
          <w:tcPr>
            <w:tcW w:w="384" w:type="pct"/>
          </w:tcPr>
          <w:p w14:paraId="2E9AAAB6"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2.4</w:t>
            </w:r>
          </w:p>
        </w:tc>
        <w:tc>
          <w:tcPr>
            <w:tcW w:w="4616" w:type="pct"/>
            <w:gridSpan w:val="2"/>
          </w:tcPr>
          <w:p w14:paraId="3DD6753F" w14:textId="77777777" w:rsidR="00126435" w:rsidRDefault="00A44DB5">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保修期内</w:t>
            </w:r>
            <w:r>
              <w:rPr>
                <w:rFonts w:ascii="宋体" w:eastAsia="宋体" w:hAnsi="宋体" w:cs="宋体" w:hint="eastAsia"/>
                <w:color w:val="000000" w:themeColor="text1"/>
                <w:sz w:val="24"/>
                <w:szCs w:val="24"/>
              </w:rPr>
              <w:t>需保证设备正常开机率不低于</w:t>
            </w:r>
            <w:r>
              <w:rPr>
                <w:rFonts w:ascii="宋体" w:eastAsia="宋体" w:hAnsi="宋体" w:cs="宋体" w:hint="eastAsia"/>
                <w:color w:val="000000" w:themeColor="text1"/>
                <w:sz w:val="24"/>
                <w:szCs w:val="24"/>
              </w:rPr>
              <w:t>95%</w:t>
            </w:r>
            <w:r>
              <w:rPr>
                <w:rFonts w:ascii="宋体" w:eastAsia="宋体" w:hAnsi="宋体" w:cs="宋体" w:hint="eastAsia"/>
                <w:color w:val="000000" w:themeColor="text1"/>
                <w:sz w:val="24"/>
                <w:szCs w:val="24"/>
              </w:rPr>
              <w:t>。</w:t>
            </w:r>
          </w:p>
        </w:tc>
      </w:tr>
      <w:tr w:rsidR="00126435" w14:paraId="323F7B71" w14:textId="77777777" w:rsidTr="00A44DB5">
        <w:trPr>
          <w:trHeight w:val="287"/>
        </w:trPr>
        <w:tc>
          <w:tcPr>
            <w:tcW w:w="384" w:type="pct"/>
          </w:tcPr>
          <w:p w14:paraId="77BB425F"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2.5</w:t>
            </w:r>
          </w:p>
        </w:tc>
        <w:tc>
          <w:tcPr>
            <w:tcW w:w="4616" w:type="pct"/>
            <w:gridSpan w:val="2"/>
          </w:tcPr>
          <w:p w14:paraId="1D9C9DAD" w14:textId="77777777" w:rsidR="00126435" w:rsidRDefault="00A44DB5">
            <w:pPr>
              <w:rPr>
                <w:rFonts w:asciiTheme="majorEastAsia" w:eastAsiaTheme="majorEastAsia" w:hAnsiTheme="majorEastAsia"/>
                <w:bCs/>
                <w:sz w:val="24"/>
                <w:szCs w:val="24"/>
              </w:rPr>
            </w:pPr>
            <w:r>
              <w:rPr>
                <w:rFonts w:ascii="宋体" w:eastAsia="宋体" w:hAnsi="宋体" w:cs="宋体" w:hint="eastAsia"/>
                <w:sz w:val="24"/>
                <w:szCs w:val="24"/>
              </w:rPr>
              <w:t>保修期内提供不少于每年</w:t>
            </w:r>
            <w:r>
              <w:rPr>
                <w:rFonts w:ascii="宋体" w:eastAsia="宋体" w:hAnsi="宋体" w:cs="宋体" w:hint="eastAsia"/>
                <w:sz w:val="24"/>
                <w:szCs w:val="24"/>
              </w:rPr>
              <w:t>2</w:t>
            </w:r>
            <w:r>
              <w:rPr>
                <w:rFonts w:ascii="宋体" w:eastAsia="宋体" w:hAnsi="宋体" w:cs="宋体" w:hint="eastAsia"/>
                <w:sz w:val="24"/>
                <w:szCs w:val="24"/>
              </w:rPr>
              <w:t>次的设备预防性维护保养服务，提供详细的设备预防性维护保养计划，根据计划在保修服务期内定期做预防性维护保养，并提供详细记录报告。</w:t>
            </w:r>
          </w:p>
        </w:tc>
      </w:tr>
      <w:tr w:rsidR="00126435" w14:paraId="64AA74BB" w14:textId="77777777" w:rsidTr="00A44DB5">
        <w:trPr>
          <w:trHeight w:val="287"/>
        </w:trPr>
        <w:tc>
          <w:tcPr>
            <w:tcW w:w="384" w:type="pct"/>
          </w:tcPr>
          <w:p w14:paraId="4055627D"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2.6</w:t>
            </w:r>
          </w:p>
        </w:tc>
        <w:tc>
          <w:tcPr>
            <w:tcW w:w="4616" w:type="pct"/>
            <w:gridSpan w:val="2"/>
          </w:tcPr>
          <w:p w14:paraId="1C6FBFF2" w14:textId="77777777" w:rsidR="00126435" w:rsidRDefault="00A44DB5">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保修期内免费提供设备的安全升级；免费提供设备的系统软件升级补丁和技术支持，以提高设备的安全性和性能；并提供所有升级资料和记录。</w:t>
            </w:r>
          </w:p>
        </w:tc>
      </w:tr>
      <w:tr w:rsidR="00126435" w14:paraId="572D9869" w14:textId="77777777" w:rsidTr="00A44DB5">
        <w:trPr>
          <w:trHeight w:val="287"/>
        </w:trPr>
        <w:tc>
          <w:tcPr>
            <w:tcW w:w="384" w:type="pct"/>
          </w:tcPr>
          <w:p w14:paraId="116BBF8A"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2.7</w:t>
            </w:r>
          </w:p>
        </w:tc>
        <w:tc>
          <w:tcPr>
            <w:tcW w:w="4616" w:type="pct"/>
            <w:gridSpan w:val="2"/>
          </w:tcPr>
          <w:p w14:paraId="7173CDF2" w14:textId="77777777" w:rsidR="00126435" w:rsidRDefault="00A44DB5">
            <w:pPr>
              <w:rPr>
                <w:rFonts w:asciiTheme="majorEastAsia" w:eastAsiaTheme="majorEastAsia" w:hAnsiTheme="majorEastAsia"/>
                <w:bCs/>
                <w:sz w:val="24"/>
                <w:szCs w:val="24"/>
              </w:rPr>
            </w:pPr>
            <w:r>
              <w:rPr>
                <w:rFonts w:ascii="宋体" w:eastAsia="宋体" w:hAnsi="宋体" w:cs="宋体" w:hint="eastAsia"/>
                <w:color w:val="000000" w:themeColor="text1"/>
                <w:sz w:val="24"/>
                <w:szCs w:val="24"/>
              </w:rPr>
              <w:t>提供</w:t>
            </w:r>
            <w:r>
              <w:rPr>
                <w:rFonts w:ascii="宋体" w:eastAsia="宋体" w:hAnsi="宋体" w:cs="宋体" w:hint="eastAsia"/>
                <w:color w:val="000000" w:themeColor="text1"/>
                <w:sz w:val="24"/>
                <w:szCs w:val="24"/>
              </w:rPr>
              <w:t>24</w:t>
            </w:r>
            <w:r>
              <w:rPr>
                <w:rFonts w:ascii="宋体" w:eastAsia="宋体" w:hAnsi="宋体" w:cs="宋体" w:hint="eastAsia"/>
                <w:color w:val="000000" w:themeColor="text1"/>
                <w:sz w:val="24"/>
                <w:szCs w:val="24"/>
              </w:rPr>
              <w:t>小时技术电话支持（</w:t>
            </w:r>
            <w:r>
              <w:rPr>
                <w:rFonts w:ascii="宋体" w:eastAsia="宋体" w:hAnsi="宋体" w:cs="宋体" w:hint="eastAsia"/>
                <w:color w:val="000000" w:themeColor="text1"/>
                <w:sz w:val="24"/>
                <w:szCs w:val="24"/>
              </w:rPr>
              <w:t>24</w:t>
            </w:r>
            <w:r>
              <w:rPr>
                <w:rFonts w:ascii="宋体" w:eastAsia="宋体" w:hAnsi="宋体" w:cs="宋体" w:hint="eastAsia"/>
                <w:color w:val="000000" w:themeColor="text1"/>
                <w:sz w:val="24"/>
                <w:szCs w:val="24"/>
              </w:rPr>
              <w:t>小时</w:t>
            </w:r>
            <w:r>
              <w:rPr>
                <w:rFonts w:ascii="宋体" w:eastAsia="宋体" w:hAnsi="宋体" w:cs="宋体" w:hint="eastAsia"/>
                <w:color w:val="000000" w:themeColor="text1"/>
                <w:sz w:val="24"/>
                <w:szCs w:val="24"/>
              </w:rPr>
              <w:t>*365</w:t>
            </w:r>
            <w:r>
              <w:rPr>
                <w:rFonts w:ascii="宋体" w:eastAsia="宋体" w:hAnsi="宋体" w:cs="宋体" w:hint="eastAsia"/>
                <w:color w:val="000000" w:themeColor="text1"/>
                <w:sz w:val="24"/>
                <w:szCs w:val="24"/>
              </w:rPr>
              <w:t>天）。</w:t>
            </w:r>
          </w:p>
        </w:tc>
      </w:tr>
      <w:tr w:rsidR="00126435" w14:paraId="5F05E35C" w14:textId="77777777" w:rsidTr="00A44DB5">
        <w:trPr>
          <w:trHeight w:val="287"/>
        </w:trPr>
        <w:tc>
          <w:tcPr>
            <w:tcW w:w="384" w:type="pct"/>
          </w:tcPr>
          <w:p w14:paraId="545FC910"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2.8</w:t>
            </w:r>
          </w:p>
        </w:tc>
        <w:tc>
          <w:tcPr>
            <w:tcW w:w="4616" w:type="pct"/>
            <w:gridSpan w:val="2"/>
          </w:tcPr>
          <w:p w14:paraId="636D5F4F" w14:textId="77777777" w:rsidR="00126435" w:rsidRDefault="00A44DB5">
            <w:pPr>
              <w:rPr>
                <w:rFonts w:asciiTheme="majorEastAsia" w:eastAsiaTheme="majorEastAsia" w:hAnsiTheme="majorEastAsia"/>
                <w:bCs/>
                <w:sz w:val="24"/>
                <w:szCs w:val="24"/>
              </w:rPr>
            </w:pPr>
            <w:r>
              <w:rPr>
                <w:rFonts w:ascii="宋体" w:eastAsia="宋体" w:hAnsi="宋体" w:cs="宋体" w:hint="eastAsia"/>
                <w:color w:val="000000" w:themeColor="text1"/>
                <w:sz w:val="24"/>
                <w:szCs w:val="24"/>
              </w:rPr>
              <w:t>提供服务期内保修电话，在保修服务期内接报修电话后，在</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小时内响应，在</w:t>
            </w:r>
            <w:r>
              <w:rPr>
                <w:rFonts w:ascii="宋体" w:eastAsia="宋体" w:hAnsi="宋体" w:cs="宋体" w:hint="eastAsia"/>
                <w:color w:val="000000" w:themeColor="text1"/>
                <w:sz w:val="24"/>
                <w:szCs w:val="24"/>
              </w:rPr>
              <w:t>24</w:t>
            </w:r>
            <w:r>
              <w:rPr>
                <w:rFonts w:ascii="宋体" w:eastAsia="宋体" w:hAnsi="宋体" w:cs="宋体" w:hint="eastAsia"/>
                <w:color w:val="000000" w:themeColor="text1"/>
                <w:sz w:val="24"/>
                <w:szCs w:val="24"/>
              </w:rPr>
              <w:t>小时内派工程师到现场实施维修。</w:t>
            </w:r>
          </w:p>
        </w:tc>
      </w:tr>
      <w:tr w:rsidR="00126435" w14:paraId="21899870" w14:textId="77777777" w:rsidTr="00A44DB5">
        <w:trPr>
          <w:trHeight w:val="287"/>
        </w:trPr>
        <w:tc>
          <w:tcPr>
            <w:tcW w:w="384" w:type="pct"/>
          </w:tcPr>
          <w:p w14:paraId="20399603"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2.9</w:t>
            </w:r>
          </w:p>
        </w:tc>
        <w:tc>
          <w:tcPr>
            <w:tcW w:w="4616" w:type="pct"/>
            <w:gridSpan w:val="2"/>
          </w:tcPr>
          <w:p w14:paraId="3AE9A21B" w14:textId="77777777" w:rsidR="00126435" w:rsidRDefault="00A44DB5">
            <w:pPr>
              <w:rPr>
                <w:rFonts w:asciiTheme="majorEastAsia" w:eastAsiaTheme="majorEastAsia" w:hAnsiTheme="majorEastAsia"/>
                <w:bCs/>
                <w:sz w:val="24"/>
                <w:szCs w:val="24"/>
              </w:rPr>
            </w:pPr>
            <w:r>
              <w:rPr>
                <w:rFonts w:ascii="宋体" w:eastAsia="宋体" w:hAnsi="宋体" w:cs="宋体" w:hint="eastAsia"/>
                <w:color w:val="000000" w:themeColor="text1"/>
                <w:sz w:val="24"/>
                <w:szCs w:val="24"/>
              </w:rPr>
              <w:t>所有服务工程师必须为取得相关维修服务资格证的专业人员（需提供服务工程师的资格证明、培训证书证明文件）。</w:t>
            </w:r>
          </w:p>
        </w:tc>
      </w:tr>
      <w:tr w:rsidR="00126435" w14:paraId="5A654565" w14:textId="77777777" w:rsidTr="00A44DB5">
        <w:trPr>
          <w:trHeight w:val="287"/>
        </w:trPr>
        <w:tc>
          <w:tcPr>
            <w:tcW w:w="384" w:type="pct"/>
          </w:tcPr>
          <w:p w14:paraId="46E11FAF"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2.10</w:t>
            </w:r>
          </w:p>
        </w:tc>
        <w:tc>
          <w:tcPr>
            <w:tcW w:w="4616" w:type="pct"/>
            <w:gridSpan w:val="2"/>
          </w:tcPr>
          <w:p w14:paraId="26C11C07" w14:textId="77777777" w:rsidR="00126435" w:rsidRDefault="00A44DB5">
            <w:pPr>
              <w:rPr>
                <w:rFonts w:asciiTheme="majorEastAsia" w:eastAsiaTheme="majorEastAsia" w:hAnsiTheme="majorEastAsia"/>
                <w:bCs/>
                <w:sz w:val="24"/>
                <w:szCs w:val="24"/>
              </w:rPr>
            </w:pPr>
            <w:r>
              <w:rPr>
                <w:rFonts w:ascii="宋体" w:eastAsia="宋体" w:hAnsi="宋体" w:cs="宋体" w:hint="eastAsia"/>
                <w:sz w:val="24"/>
                <w:szCs w:val="24"/>
              </w:rPr>
              <w:t>维修前应将用户相关数据等备份，维修结束后恢复原状。</w:t>
            </w:r>
          </w:p>
        </w:tc>
      </w:tr>
      <w:tr w:rsidR="00126435" w14:paraId="06D72A46" w14:textId="77777777" w:rsidTr="00A44DB5">
        <w:trPr>
          <w:trHeight w:val="287"/>
        </w:trPr>
        <w:tc>
          <w:tcPr>
            <w:tcW w:w="384" w:type="pct"/>
          </w:tcPr>
          <w:p w14:paraId="6C8FF057"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2.11</w:t>
            </w:r>
          </w:p>
        </w:tc>
        <w:tc>
          <w:tcPr>
            <w:tcW w:w="4616" w:type="pct"/>
            <w:gridSpan w:val="2"/>
          </w:tcPr>
          <w:p w14:paraId="1E7FC879" w14:textId="77777777" w:rsidR="00126435" w:rsidRDefault="00A44DB5">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在国内及浙江省内有专业的售后服务机构，并注明省内售后服务机构办公地点。提供报修电话，以及维修服务网点、人员联系方式。</w:t>
            </w:r>
          </w:p>
        </w:tc>
      </w:tr>
      <w:tr w:rsidR="00126435" w14:paraId="634482FF" w14:textId="77777777" w:rsidTr="00A44DB5">
        <w:trPr>
          <w:trHeight w:val="287"/>
        </w:trPr>
        <w:tc>
          <w:tcPr>
            <w:tcW w:w="384" w:type="pct"/>
          </w:tcPr>
          <w:p w14:paraId="43BE1EF0" w14:textId="77777777" w:rsidR="00126435" w:rsidRDefault="00A44DB5">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2.12</w:t>
            </w:r>
          </w:p>
        </w:tc>
        <w:tc>
          <w:tcPr>
            <w:tcW w:w="4616" w:type="pct"/>
            <w:gridSpan w:val="2"/>
          </w:tcPr>
          <w:p w14:paraId="34430B16" w14:textId="77777777" w:rsidR="00126435" w:rsidRDefault="00A44DB5">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保修需涵盖我院目前在用同品牌放射医疗设备在合同签订前未结的所有工单。</w:t>
            </w:r>
          </w:p>
        </w:tc>
      </w:tr>
    </w:tbl>
    <w:p w14:paraId="5276C1E8" w14:textId="77777777" w:rsidR="00126435" w:rsidRDefault="00126435">
      <w:pPr>
        <w:spacing w:line="360" w:lineRule="auto"/>
        <w:rPr>
          <w:sz w:val="24"/>
          <w:szCs w:val="24"/>
          <w:u w:val="single"/>
        </w:rPr>
      </w:pPr>
    </w:p>
    <w:sectPr w:rsidR="00126435" w:rsidSect="00A44DB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TlhZjVlOTUwMjk0MjVkODJkNThhOWFkYzQzYjcifQ=="/>
  </w:docVars>
  <w:rsids>
    <w:rsidRoot w:val="7B28549C"/>
    <w:rsid w:val="001255B3"/>
    <w:rsid w:val="00126435"/>
    <w:rsid w:val="001C552B"/>
    <w:rsid w:val="002B4374"/>
    <w:rsid w:val="00323B17"/>
    <w:rsid w:val="00457415"/>
    <w:rsid w:val="00586830"/>
    <w:rsid w:val="005F1C6C"/>
    <w:rsid w:val="00671869"/>
    <w:rsid w:val="008C5B5E"/>
    <w:rsid w:val="009A07E7"/>
    <w:rsid w:val="00A36BCA"/>
    <w:rsid w:val="00A44DB5"/>
    <w:rsid w:val="00A64ECF"/>
    <w:rsid w:val="00AB5100"/>
    <w:rsid w:val="00AB5361"/>
    <w:rsid w:val="00CD7854"/>
    <w:rsid w:val="06CC6306"/>
    <w:rsid w:val="07A70F85"/>
    <w:rsid w:val="099077F7"/>
    <w:rsid w:val="0F2C1D70"/>
    <w:rsid w:val="10477E7E"/>
    <w:rsid w:val="1ADC4941"/>
    <w:rsid w:val="1E0D20DF"/>
    <w:rsid w:val="208E5D79"/>
    <w:rsid w:val="24303C58"/>
    <w:rsid w:val="26651C51"/>
    <w:rsid w:val="28331C1B"/>
    <w:rsid w:val="2EE34571"/>
    <w:rsid w:val="30572F78"/>
    <w:rsid w:val="34480AEF"/>
    <w:rsid w:val="38A03D8B"/>
    <w:rsid w:val="397F500E"/>
    <w:rsid w:val="44C578EC"/>
    <w:rsid w:val="49006B4F"/>
    <w:rsid w:val="4A946440"/>
    <w:rsid w:val="4AFB588F"/>
    <w:rsid w:val="4F361873"/>
    <w:rsid w:val="5118618C"/>
    <w:rsid w:val="54DA35AC"/>
    <w:rsid w:val="59CE33A8"/>
    <w:rsid w:val="5BB87046"/>
    <w:rsid w:val="5F7056A6"/>
    <w:rsid w:val="61386D43"/>
    <w:rsid w:val="663336A5"/>
    <w:rsid w:val="67212ADF"/>
    <w:rsid w:val="69DB0917"/>
    <w:rsid w:val="6E873EA7"/>
    <w:rsid w:val="70326D5C"/>
    <w:rsid w:val="72901CD2"/>
    <w:rsid w:val="73691968"/>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9</cp:revision>
  <dcterms:created xsi:type="dcterms:W3CDTF">2023-10-19T02:31:00Z</dcterms:created>
  <dcterms:modified xsi:type="dcterms:W3CDTF">2024-07-16T06:16:00Z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DC6E5040039047948E092E019373E98C_13</vt:lpwstr>
  </property>
</Properties>
</file>