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6"/>
        <w:gridCol w:w="8493"/>
      </w:tblGrid>
      <w:tr w:rsidR="00E06735" w:rsidTr="0085288B">
        <w:trPr>
          <w:trHeight w:val="604"/>
        </w:trPr>
        <w:tc>
          <w:tcPr>
            <w:tcW w:w="1247" w:type="pct"/>
            <w:gridSpan w:val="2"/>
          </w:tcPr>
          <w:p w:rsidR="00E06735" w:rsidRDefault="00C36EE2" w:rsidP="004A7D0E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E06735" w:rsidRDefault="00C36EE2" w:rsidP="004A7D0E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全自动组织脱水机</w:t>
            </w:r>
          </w:p>
        </w:tc>
      </w:tr>
      <w:tr w:rsidR="00E06735" w:rsidTr="0085288B">
        <w:trPr>
          <w:trHeight w:val="604"/>
        </w:trPr>
        <w:tc>
          <w:tcPr>
            <w:tcW w:w="1247" w:type="pct"/>
            <w:gridSpan w:val="2"/>
          </w:tcPr>
          <w:p w:rsidR="00E06735" w:rsidRDefault="00C36EE2" w:rsidP="004A7D0E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E06735" w:rsidRDefault="00C36EE2" w:rsidP="004A7D0E">
            <w:pPr>
              <w:ind w:rightChars="-162" w:right="-34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A13B4F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病理科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="21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E06735" w:rsidRDefault="00C36EE2" w:rsidP="004A7D0E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E06735" w:rsidTr="0085288B">
        <w:trPr>
          <w:trHeight w:val="260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E06735" w:rsidRPr="00F07E68" w:rsidRDefault="00C36EE2" w:rsidP="004A7D0E">
            <w:pPr>
              <w:ind w:rightChars="-162" w:right="-340"/>
            </w:pPr>
            <w:r w:rsidRPr="00F07E68">
              <w:rPr>
                <w:rFonts w:hint="eastAsia"/>
              </w:rPr>
              <w:t>用途：对人体或动物组织自动按程序进行脱水，透明，浸蜡等病理分析前处理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E06735" w:rsidRPr="00F07E68" w:rsidRDefault="00C36EE2" w:rsidP="004A7D0E">
            <w:pPr>
              <w:ind w:rightChars="-162" w:right="-340"/>
            </w:pPr>
            <w:r w:rsidRPr="00F07E68">
              <w:rPr>
                <w:rFonts w:hint="eastAsia"/>
              </w:rPr>
              <w:t>数量：</w:t>
            </w:r>
            <w:r w:rsidRPr="00F07E68">
              <w:rPr>
                <w:rFonts w:hint="eastAsia"/>
              </w:rPr>
              <w:t>2</w:t>
            </w:r>
            <w:r w:rsidR="00B51461" w:rsidRPr="00F07E68">
              <w:rPr>
                <w:rFonts w:hint="eastAsia"/>
              </w:rPr>
              <w:t>台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="211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</w:p>
        </w:tc>
        <w:tc>
          <w:tcPr>
            <w:tcW w:w="4626" w:type="pct"/>
            <w:gridSpan w:val="2"/>
          </w:tcPr>
          <w:p w:rsidR="00E06735" w:rsidRDefault="00C36EE2" w:rsidP="004A7D0E">
            <w:pPr>
              <w:ind w:rightChars="-162" w:right="-34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同时处理包埋盒数量：≥</w:t>
            </w:r>
            <w:r w:rsidRPr="004A7D0E">
              <w:rPr>
                <w:rFonts w:hint="eastAsia"/>
              </w:rPr>
              <w:t>300</w:t>
            </w:r>
            <w:r w:rsidRPr="004A7D0E">
              <w:rPr>
                <w:rFonts w:hint="eastAsia"/>
              </w:rPr>
              <w:t>个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具有多种脱水模式，以适用于不同类型的标本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脱水缸：金属材质，一体加工成形，具有加热和温控调节功能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F0DD5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脱水缸盖采用电子锁自动进行锁紧和打开，具有双重触发装置，确保缸盖锁紧的安全和可靠性；拒绝采用手动滑动或旋转式机械锁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搅拌加压方式：反复加压、减压的</w:t>
            </w:r>
            <w:r w:rsidRPr="004A7D0E">
              <w:rPr>
                <w:rFonts w:hint="eastAsia"/>
              </w:rPr>
              <w:t>P/V</w:t>
            </w:r>
            <w:r w:rsidRPr="004A7D0E">
              <w:rPr>
                <w:rFonts w:hint="eastAsia"/>
              </w:rPr>
              <w:t>循环，反复</w:t>
            </w:r>
            <w:proofErr w:type="gramStart"/>
            <w:r w:rsidRPr="004A7D0E">
              <w:rPr>
                <w:rFonts w:hint="eastAsia"/>
              </w:rPr>
              <w:t>泵进泵</w:t>
            </w:r>
            <w:proofErr w:type="gramEnd"/>
            <w:r w:rsidRPr="004A7D0E">
              <w:rPr>
                <w:rFonts w:hint="eastAsia"/>
              </w:rPr>
              <w:t>出的搅拌等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F0DD5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液位传感器：≥</w:t>
            </w:r>
            <w:r w:rsidRPr="004A7D0E">
              <w:rPr>
                <w:rFonts w:hint="eastAsia"/>
              </w:rPr>
              <w:t>4</w:t>
            </w:r>
            <w:r w:rsidRPr="004A7D0E">
              <w:rPr>
                <w:rFonts w:hint="eastAsia"/>
              </w:rPr>
              <w:t>个超声</w:t>
            </w:r>
            <w:proofErr w:type="gramStart"/>
            <w:r w:rsidRPr="004A7D0E">
              <w:rPr>
                <w:rFonts w:hint="eastAsia"/>
              </w:rPr>
              <w:t>液位探感器</w:t>
            </w:r>
            <w:proofErr w:type="gramEnd"/>
            <w:r w:rsidRPr="004A7D0E">
              <w:rPr>
                <w:rFonts w:hint="eastAsia"/>
              </w:rPr>
              <w:t>，可同时</w:t>
            </w:r>
            <w:proofErr w:type="gramStart"/>
            <w:r w:rsidRPr="004A7D0E">
              <w:rPr>
                <w:rFonts w:hint="eastAsia"/>
              </w:rPr>
              <w:t>监测高</w:t>
            </w:r>
            <w:proofErr w:type="gramEnd"/>
            <w:r w:rsidRPr="004A7D0E">
              <w:rPr>
                <w:rFonts w:hint="eastAsia"/>
              </w:rPr>
              <w:t>液位</w:t>
            </w:r>
            <w:proofErr w:type="gramStart"/>
            <w:r w:rsidRPr="004A7D0E">
              <w:rPr>
                <w:rFonts w:hint="eastAsia"/>
              </w:rPr>
              <w:t>和低液位</w:t>
            </w:r>
            <w:proofErr w:type="gramEnd"/>
            <w:r w:rsidRPr="004A7D0E">
              <w:rPr>
                <w:rFonts w:hint="eastAsia"/>
              </w:rPr>
              <w:t>，且不受污染物影响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石蜡缸：多个大容量的石蜡缸，采用可拆卸的抽屉式结构，便于清洁，避免管道堵塞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F0DD5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石蜡缸盖内置加热功能，防止试剂蒸汽结露及结蜡而污染下一组试剂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9 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试剂瓶：多个大容量的试剂瓶，对其内试剂具有加热和温控调节功能；有防溢出设计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具备外接式加注、排放试剂与石蜡功能，以避免用户直接接触试剂和热石蜡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试剂管理：可根据包埋盒数量、脱水周期、试剂使用天数、试剂浓度自动提示试剂更换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试剂自动补液功能：当发现药液不足时仪器自动从相同种类药液组的下一</w:t>
            </w:r>
            <w:proofErr w:type="gramStart"/>
            <w:r w:rsidRPr="004A7D0E">
              <w:rPr>
                <w:rFonts w:hint="eastAsia"/>
              </w:rPr>
              <w:t>缸或者备液</w:t>
            </w:r>
            <w:proofErr w:type="gramEnd"/>
            <w:r w:rsidRPr="004A7D0E">
              <w:rPr>
                <w:rFonts w:hint="eastAsia"/>
              </w:rPr>
              <w:t>缸补充药液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试剂替代处理功能：由于药液连接不良等原因，使药液供给发生异常情况时，仪器自动从同类药液的后一个</w:t>
            </w:r>
            <w:proofErr w:type="gramStart"/>
            <w:r w:rsidRPr="004A7D0E">
              <w:rPr>
                <w:rFonts w:hint="eastAsia"/>
              </w:rPr>
              <w:t>缸</w:t>
            </w:r>
            <w:proofErr w:type="gramEnd"/>
            <w:r w:rsidRPr="004A7D0E">
              <w:rPr>
                <w:rFonts w:hint="eastAsia"/>
              </w:rPr>
              <w:t>抽取试剂替代进行标本处理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试剂柜：具有背光照明功能灯，可直观指示试剂瓶连接状态，可目测确认试剂余量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F0DD5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清洗程序：具有多种清洗程序，清洗完后自动进行烘干，确保组织</w:t>
            </w:r>
            <w:proofErr w:type="gramStart"/>
            <w:r w:rsidRPr="004A7D0E">
              <w:rPr>
                <w:rFonts w:hint="eastAsia"/>
              </w:rPr>
              <w:t>缸</w:t>
            </w:r>
            <w:proofErr w:type="gramEnd"/>
            <w:r w:rsidRPr="004A7D0E">
              <w:rPr>
                <w:rFonts w:hint="eastAsia"/>
              </w:rPr>
              <w:t>清洁更彻底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防堵塞：连接管道的多向旋转</w:t>
            </w:r>
            <w:proofErr w:type="gramStart"/>
            <w:r w:rsidRPr="004A7D0E">
              <w:rPr>
                <w:rFonts w:hint="eastAsia"/>
              </w:rPr>
              <w:t>阀采用</w:t>
            </w:r>
            <w:proofErr w:type="gramEnd"/>
            <w:r w:rsidRPr="004A7D0E">
              <w:rPr>
                <w:rFonts w:hint="eastAsia"/>
              </w:rPr>
              <w:t>陶瓷材料，不易黏结石蜡和其他杂质，从而避免堵塞管道。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17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排气处理：通过活性炭过滤等方式对挥发的气体进行吸附，或其他气体处理方式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18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操作交互：大尺寸彩色触摸</w:t>
            </w:r>
            <w:proofErr w:type="gramStart"/>
            <w:r w:rsidRPr="004A7D0E">
              <w:rPr>
                <w:rFonts w:hint="eastAsia"/>
              </w:rPr>
              <w:t>屏操作</w:t>
            </w:r>
            <w:proofErr w:type="gramEnd"/>
            <w:r w:rsidRPr="004A7D0E">
              <w:rPr>
                <w:rFonts w:hint="eastAsia"/>
              </w:rPr>
              <w:t>面板，实时图形化显示，易操作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F0DD5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19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设备自检：在设备运行前，对处理槽盖锁定动能、常压、加正压、负压和加热等功能进行自检；并以</w:t>
            </w:r>
            <w:proofErr w:type="gramStart"/>
            <w:r w:rsidRPr="004A7D0E">
              <w:rPr>
                <w:rFonts w:hint="eastAsia"/>
              </w:rPr>
              <w:t>弹窗形式提示自</w:t>
            </w:r>
            <w:proofErr w:type="gramEnd"/>
            <w:r w:rsidRPr="004A7D0E">
              <w:rPr>
                <w:rFonts w:hint="eastAsia"/>
              </w:rPr>
              <w:t>检详情和进度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</w:p>
        </w:tc>
        <w:tc>
          <w:tcPr>
            <w:tcW w:w="4626" w:type="pct"/>
            <w:gridSpan w:val="2"/>
          </w:tcPr>
          <w:p w:rsidR="00E06735" w:rsidRPr="004A7D0E" w:rsidRDefault="00C36EE2">
            <w:pPr>
              <w:ind w:rightChars="-162" w:right="-340"/>
            </w:pPr>
            <w:r w:rsidRPr="004A7D0E">
              <w:rPr>
                <w:rFonts w:hint="eastAsia"/>
              </w:rPr>
              <w:t>报警方式：具有本机报警和远程报警等多种报警方式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="21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26" w:type="pct"/>
            <w:gridSpan w:val="2"/>
          </w:tcPr>
          <w:p w:rsidR="00E06735" w:rsidRDefault="00C36EE2" w:rsidP="004A7D0E">
            <w:pPr>
              <w:ind w:rightChars="-162" w:right="-34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E06735" w:rsidRPr="00E5357B" w:rsidRDefault="00C36EE2" w:rsidP="004A7D0E">
            <w:pPr>
              <w:ind w:rightChars="-162" w:right="-340"/>
            </w:pPr>
            <w:r w:rsidRPr="00E5357B">
              <w:rPr>
                <w:rFonts w:hint="eastAsia"/>
              </w:rPr>
              <w:t>组织脱水机主机</w:t>
            </w:r>
            <w:r w:rsidRPr="00E5357B">
              <w:rPr>
                <w:rFonts w:hint="eastAsia"/>
              </w:rPr>
              <w:t xml:space="preserve">           </w:t>
            </w:r>
            <w:r w:rsidR="00702A43">
              <w:rPr>
                <w:rFonts w:hint="eastAsia"/>
              </w:rPr>
              <w:t>2</w:t>
            </w:r>
            <w:r w:rsidRPr="00E5357B">
              <w:rPr>
                <w:rFonts w:hint="eastAsia"/>
              </w:rPr>
              <w:t>台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E06735" w:rsidRPr="00E5357B" w:rsidRDefault="00C36EE2" w:rsidP="004A7D0E">
            <w:pPr>
              <w:ind w:rightChars="-162" w:right="-340"/>
            </w:pPr>
            <w:r w:rsidRPr="00E5357B">
              <w:rPr>
                <w:rFonts w:hint="eastAsia"/>
              </w:rPr>
              <w:t>脱水</w:t>
            </w:r>
            <w:proofErr w:type="gramStart"/>
            <w:r w:rsidRPr="00E5357B">
              <w:rPr>
                <w:rFonts w:hint="eastAsia"/>
              </w:rPr>
              <w:t>篮</w:t>
            </w:r>
            <w:proofErr w:type="gramEnd"/>
            <w:r w:rsidRPr="00E5357B">
              <w:rPr>
                <w:rFonts w:hint="eastAsia"/>
              </w:rPr>
              <w:t xml:space="preserve">                   </w:t>
            </w:r>
            <w:r w:rsidRPr="00E5357B">
              <w:rPr>
                <w:rFonts w:hint="eastAsia"/>
              </w:rPr>
              <w:t>多个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E06735" w:rsidRPr="00E5357B" w:rsidRDefault="00C36EE2" w:rsidP="004A7D0E">
            <w:pPr>
              <w:ind w:rightChars="-162" w:right="-340"/>
            </w:pPr>
            <w:r w:rsidRPr="00E5357B">
              <w:rPr>
                <w:rFonts w:hint="eastAsia"/>
              </w:rPr>
              <w:t>试剂瓶</w:t>
            </w:r>
            <w:r w:rsidRPr="00E5357B">
              <w:rPr>
                <w:rFonts w:hint="eastAsia"/>
              </w:rPr>
              <w:t xml:space="preserve">                   </w:t>
            </w:r>
            <w:r w:rsidRPr="00E5357B">
              <w:rPr>
                <w:rFonts w:hint="eastAsia"/>
              </w:rPr>
              <w:t>多个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E06735" w:rsidRPr="00E5357B" w:rsidRDefault="00C36EE2" w:rsidP="004A7D0E">
            <w:pPr>
              <w:ind w:rightChars="-162" w:right="-340"/>
            </w:pPr>
            <w:r w:rsidRPr="00E5357B">
              <w:rPr>
                <w:rFonts w:hint="eastAsia"/>
              </w:rPr>
              <w:t>废液瓶</w:t>
            </w:r>
            <w:r w:rsidRPr="00E5357B">
              <w:rPr>
                <w:rFonts w:hint="eastAsia"/>
              </w:rPr>
              <w:t xml:space="preserve">                   </w:t>
            </w:r>
            <w:r w:rsidRPr="00E5357B">
              <w:rPr>
                <w:rFonts w:hint="eastAsia"/>
              </w:rPr>
              <w:t>多个</w:t>
            </w:r>
          </w:p>
        </w:tc>
      </w:tr>
      <w:tr w:rsidR="00E06735" w:rsidTr="0085288B">
        <w:trPr>
          <w:trHeight w:val="287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E06735" w:rsidRPr="00E5357B" w:rsidRDefault="00C36EE2" w:rsidP="004A7D0E">
            <w:pPr>
              <w:ind w:rightChars="-162" w:right="-340"/>
            </w:pPr>
            <w:r w:rsidRPr="00E5357B">
              <w:rPr>
                <w:rFonts w:hint="eastAsia"/>
              </w:rPr>
              <w:t>过滤吸附或抽气排风装置</w:t>
            </w:r>
            <w:r w:rsidR="00702A43">
              <w:rPr>
                <w:rFonts w:hint="eastAsia"/>
              </w:rPr>
              <w:t xml:space="preserve">   2</w:t>
            </w:r>
            <w:r w:rsidRPr="00E5357B">
              <w:rPr>
                <w:rFonts w:hint="eastAsia"/>
              </w:rPr>
              <w:t>套</w:t>
            </w:r>
          </w:p>
        </w:tc>
      </w:tr>
      <w:tr w:rsidR="00E06735" w:rsidTr="0085288B">
        <w:trPr>
          <w:trHeight w:val="308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="21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626" w:type="pct"/>
            <w:gridSpan w:val="2"/>
          </w:tcPr>
          <w:p w:rsidR="00E06735" w:rsidRDefault="00C36EE2" w:rsidP="004A7D0E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E06735" w:rsidTr="0085288B">
        <w:trPr>
          <w:trHeight w:val="308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E06735" w:rsidRPr="002A4EA3" w:rsidRDefault="00C36EE2" w:rsidP="004A7D0E">
            <w:pPr>
              <w:ind w:rightChars="-162" w:right="-340"/>
            </w:pPr>
            <w:r w:rsidRPr="002A4EA3">
              <w:rPr>
                <w:rFonts w:hint="eastAsia"/>
              </w:rPr>
              <w:t>原厂质保期不少于</w:t>
            </w:r>
            <w:r w:rsidRPr="002A4EA3">
              <w:rPr>
                <w:rFonts w:hint="eastAsia"/>
              </w:rPr>
              <w:t>3</w:t>
            </w:r>
            <w:r w:rsidRPr="002A4EA3">
              <w:rPr>
                <w:rFonts w:hint="eastAsia"/>
              </w:rPr>
              <w:t>年。</w:t>
            </w:r>
            <w:r w:rsidRPr="002A4EA3">
              <w:rPr>
                <w:rFonts w:hint="eastAsia"/>
              </w:rPr>
              <w:t xml:space="preserve">                        </w:t>
            </w:r>
          </w:p>
        </w:tc>
      </w:tr>
      <w:tr w:rsidR="00E06735" w:rsidTr="0085288B">
        <w:trPr>
          <w:trHeight w:val="308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E06735" w:rsidRPr="002A4EA3" w:rsidRDefault="00C36EE2" w:rsidP="004A7D0E">
            <w:pPr>
              <w:ind w:rightChars="-162" w:right="-340"/>
            </w:pPr>
            <w:r w:rsidRPr="002A4EA3">
              <w:rPr>
                <w:rFonts w:hint="eastAsia"/>
              </w:rPr>
              <w:t>十年以上的零配件供应期。</w:t>
            </w:r>
          </w:p>
        </w:tc>
      </w:tr>
      <w:tr w:rsidR="00E06735" w:rsidTr="0085288B">
        <w:trPr>
          <w:trHeight w:val="308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E06735" w:rsidRPr="002A4EA3" w:rsidRDefault="00C36EE2" w:rsidP="004A7D0E">
            <w:pPr>
              <w:ind w:rightChars="-162" w:right="-340"/>
            </w:pPr>
            <w:r w:rsidRPr="002A4EA3">
              <w:rPr>
                <w:rFonts w:hint="eastAsia"/>
              </w:rPr>
              <w:t>维修响应时间≤</w:t>
            </w:r>
            <w:r w:rsidRPr="002A4EA3">
              <w:rPr>
                <w:rFonts w:hint="eastAsia"/>
              </w:rPr>
              <w:t>2</w:t>
            </w:r>
            <w:r w:rsidRPr="002A4EA3">
              <w:rPr>
                <w:rFonts w:hint="eastAsia"/>
              </w:rPr>
              <w:t>小时，</w:t>
            </w:r>
            <w:r w:rsidRPr="002A4EA3">
              <w:rPr>
                <w:rFonts w:hint="eastAsia"/>
              </w:rPr>
              <w:t>24</w:t>
            </w:r>
            <w:r w:rsidRPr="002A4EA3">
              <w:rPr>
                <w:rFonts w:hint="eastAsia"/>
              </w:rPr>
              <w:t>小时内上门维修，保修期外先维修后付款。</w:t>
            </w:r>
          </w:p>
        </w:tc>
      </w:tr>
      <w:tr w:rsidR="00E06735" w:rsidTr="0085288B">
        <w:trPr>
          <w:trHeight w:val="308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E06735" w:rsidRPr="002A4EA3" w:rsidRDefault="00C36EE2" w:rsidP="004A7D0E">
            <w:pPr>
              <w:ind w:rightChars="-162" w:right="-340"/>
            </w:pPr>
            <w:r w:rsidRPr="002A4EA3">
              <w:rPr>
                <w:rFonts w:hint="eastAsia"/>
              </w:rPr>
              <w:t>保修期内，每年应提供不少于</w:t>
            </w:r>
            <w:r w:rsidRPr="002A4EA3">
              <w:rPr>
                <w:rFonts w:hint="eastAsia"/>
              </w:rPr>
              <w:t>2</w:t>
            </w:r>
            <w:r w:rsidRPr="002A4EA3">
              <w:rPr>
                <w:rFonts w:hint="eastAsia"/>
              </w:rPr>
              <w:t>次的预防性维护保养</w:t>
            </w:r>
            <w:r w:rsidRPr="002A4EA3">
              <w:rPr>
                <w:rFonts w:hint="eastAsia"/>
              </w:rPr>
              <w:t>,</w:t>
            </w:r>
            <w:r w:rsidRPr="002A4EA3">
              <w:rPr>
                <w:rFonts w:hint="eastAsia"/>
              </w:rPr>
              <w:t>并提供设备维修、保养详细工作报告单。</w:t>
            </w:r>
          </w:p>
        </w:tc>
      </w:tr>
      <w:tr w:rsidR="00E06735" w:rsidTr="0085288B">
        <w:trPr>
          <w:trHeight w:val="308"/>
        </w:trPr>
        <w:tc>
          <w:tcPr>
            <w:tcW w:w="374" w:type="pct"/>
          </w:tcPr>
          <w:p w:rsidR="00E06735" w:rsidRDefault="00C36EE2" w:rsidP="004A7D0E">
            <w:pPr>
              <w:ind w:rightChars="-162" w:right="-340" w:firstLine="21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26" w:type="pct"/>
            <w:gridSpan w:val="2"/>
          </w:tcPr>
          <w:p w:rsidR="00E06735" w:rsidRDefault="00C36EE2" w:rsidP="004A7D0E">
            <w:pPr>
              <w:ind w:rightChars="-162" w:right="-34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E06735" w:rsidTr="0085288B">
        <w:trPr>
          <w:trHeight w:val="308"/>
        </w:trPr>
        <w:tc>
          <w:tcPr>
            <w:tcW w:w="374" w:type="pct"/>
          </w:tcPr>
          <w:p w:rsidR="00E06735" w:rsidRDefault="00E06735" w:rsidP="004A7D0E">
            <w:pPr>
              <w:ind w:rightChars="-162" w:right="-34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E06735" w:rsidRDefault="00C36EE2" w:rsidP="004A7D0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A4EA3">
              <w:rPr>
                <w:rFonts w:hint="eastAsia"/>
              </w:rPr>
              <w:t>石蜡、脱水剂、清洗剂等</w:t>
            </w:r>
          </w:p>
        </w:tc>
      </w:tr>
    </w:tbl>
    <w:p w:rsidR="00E06735" w:rsidRDefault="00E06735" w:rsidP="0085288B">
      <w:pPr>
        <w:spacing w:line="360" w:lineRule="auto"/>
        <w:ind w:right="-356"/>
        <w:rPr>
          <w:sz w:val="24"/>
          <w:szCs w:val="24"/>
          <w:u w:val="single"/>
        </w:rPr>
      </w:pPr>
      <w:bookmarkStart w:id="0" w:name="_GoBack"/>
      <w:bookmarkEnd w:id="0"/>
    </w:p>
    <w:sectPr w:rsidR="00E06735" w:rsidSect="0085288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31" w:rsidRDefault="003B0B31" w:rsidP="004A7D0E">
      <w:pPr>
        <w:ind w:right="-356"/>
      </w:pPr>
      <w:r>
        <w:separator/>
      </w:r>
    </w:p>
  </w:endnote>
  <w:endnote w:type="continuationSeparator" w:id="0">
    <w:p w:rsidR="003B0B31" w:rsidRDefault="003B0B31" w:rsidP="004A7D0E">
      <w:pPr>
        <w:ind w:right="-3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31" w:rsidRDefault="003B0B31" w:rsidP="004A7D0E">
      <w:pPr>
        <w:ind w:right="-356"/>
      </w:pPr>
      <w:r>
        <w:separator/>
      </w:r>
    </w:p>
  </w:footnote>
  <w:footnote w:type="continuationSeparator" w:id="0">
    <w:p w:rsidR="003B0B31" w:rsidRDefault="003B0B31" w:rsidP="004A7D0E">
      <w:pPr>
        <w:ind w:right="-35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4EA3"/>
    <w:rsid w:val="002A5A10"/>
    <w:rsid w:val="002A7A89"/>
    <w:rsid w:val="003003F9"/>
    <w:rsid w:val="003012D5"/>
    <w:rsid w:val="00305ABD"/>
    <w:rsid w:val="00316A29"/>
    <w:rsid w:val="0032481B"/>
    <w:rsid w:val="00333A6A"/>
    <w:rsid w:val="003752C8"/>
    <w:rsid w:val="003B0B31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A7D0E"/>
    <w:rsid w:val="004B27D2"/>
    <w:rsid w:val="004D53F0"/>
    <w:rsid w:val="004E5592"/>
    <w:rsid w:val="004F0DD5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62CA"/>
    <w:rsid w:val="00616685"/>
    <w:rsid w:val="00625D06"/>
    <w:rsid w:val="00633BCD"/>
    <w:rsid w:val="0067400B"/>
    <w:rsid w:val="006908C8"/>
    <w:rsid w:val="006A5973"/>
    <w:rsid w:val="006B1B27"/>
    <w:rsid w:val="006C0728"/>
    <w:rsid w:val="006D446C"/>
    <w:rsid w:val="006D7E06"/>
    <w:rsid w:val="006F3CE0"/>
    <w:rsid w:val="007022BF"/>
    <w:rsid w:val="00702A43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288B"/>
    <w:rsid w:val="00856575"/>
    <w:rsid w:val="00862ACD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852B6"/>
    <w:rsid w:val="009A2231"/>
    <w:rsid w:val="009C09CB"/>
    <w:rsid w:val="009C0D73"/>
    <w:rsid w:val="009C19BB"/>
    <w:rsid w:val="009E575F"/>
    <w:rsid w:val="009F52D7"/>
    <w:rsid w:val="009F7360"/>
    <w:rsid w:val="00A00801"/>
    <w:rsid w:val="00A074E4"/>
    <w:rsid w:val="00A1265D"/>
    <w:rsid w:val="00A13B4F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1461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36EE2"/>
    <w:rsid w:val="00C414E1"/>
    <w:rsid w:val="00C57AB8"/>
    <w:rsid w:val="00C672B5"/>
    <w:rsid w:val="00C76B12"/>
    <w:rsid w:val="00C80339"/>
    <w:rsid w:val="00C8619F"/>
    <w:rsid w:val="00C90309"/>
    <w:rsid w:val="00C9142D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06735"/>
    <w:rsid w:val="00E32A66"/>
    <w:rsid w:val="00E5357B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07E68"/>
    <w:rsid w:val="00F24D3A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14F4893"/>
    <w:rsid w:val="01F06197"/>
    <w:rsid w:val="01FF1E15"/>
    <w:rsid w:val="03393F93"/>
    <w:rsid w:val="03AB26E4"/>
    <w:rsid w:val="03C24D40"/>
    <w:rsid w:val="046D0DC6"/>
    <w:rsid w:val="047A39D5"/>
    <w:rsid w:val="04A9250C"/>
    <w:rsid w:val="04CF4308"/>
    <w:rsid w:val="04D37589"/>
    <w:rsid w:val="05045994"/>
    <w:rsid w:val="05232156"/>
    <w:rsid w:val="052E47BF"/>
    <w:rsid w:val="05EC445F"/>
    <w:rsid w:val="06CC6306"/>
    <w:rsid w:val="072F6B6A"/>
    <w:rsid w:val="077E37DC"/>
    <w:rsid w:val="07817A87"/>
    <w:rsid w:val="07A70F85"/>
    <w:rsid w:val="08407054"/>
    <w:rsid w:val="0851741D"/>
    <w:rsid w:val="087F4F62"/>
    <w:rsid w:val="09271C52"/>
    <w:rsid w:val="099077F7"/>
    <w:rsid w:val="09AE2276"/>
    <w:rsid w:val="09D82C55"/>
    <w:rsid w:val="0A193C90"/>
    <w:rsid w:val="0A3B59B5"/>
    <w:rsid w:val="0ACA3E0D"/>
    <w:rsid w:val="0CEA3062"/>
    <w:rsid w:val="0E2976AF"/>
    <w:rsid w:val="0E4447F7"/>
    <w:rsid w:val="0ED42B4E"/>
    <w:rsid w:val="0EE721D9"/>
    <w:rsid w:val="0EF40ED5"/>
    <w:rsid w:val="0F2C1D70"/>
    <w:rsid w:val="0F4946D0"/>
    <w:rsid w:val="0FB24BEB"/>
    <w:rsid w:val="10477E7E"/>
    <w:rsid w:val="12484349"/>
    <w:rsid w:val="12C7072D"/>
    <w:rsid w:val="12CC05C0"/>
    <w:rsid w:val="134A6C68"/>
    <w:rsid w:val="13F07810"/>
    <w:rsid w:val="14425D3E"/>
    <w:rsid w:val="144705DE"/>
    <w:rsid w:val="144E1A61"/>
    <w:rsid w:val="15DD7A73"/>
    <w:rsid w:val="15E30851"/>
    <w:rsid w:val="15E47BBF"/>
    <w:rsid w:val="16DE4CE8"/>
    <w:rsid w:val="171C091C"/>
    <w:rsid w:val="17470F2F"/>
    <w:rsid w:val="17944956"/>
    <w:rsid w:val="183C74C7"/>
    <w:rsid w:val="18445C0E"/>
    <w:rsid w:val="184C6FDF"/>
    <w:rsid w:val="18791290"/>
    <w:rsid w:val="18813D03"/>
    <w:rsid w:val="18D23988"/>
    <w:rsid w:val="191219A6"/>
    <w:rsid w:val="19591B3A"/>
    <w:rsid w:val="1A070E2D"/>
    <w:rsid w:val="1A146CAF"/>
    <w:rsid w:val="1AC059F4"/>
    <w:rsid w:val="1ADC4941"/>
    <w:rsid w:val="1BEC2FB3"/>
    <w:rsid w:val="1C18013C"/>
    <w:rsid w:val="1C2D7127"/>
    <w:rsid w:val="1D3D1E99"/>
    <w:rsid w:val="1E29229C"/>
    <w:rsid w:val="1E58665D"/>
    <w:rsid w:val="1F630954"/>
    <w:rsid w:val="1F901EA7"/>
    <w:rsid w:val="1FC0626C"/>
    <w:rsid w:val="200E06F7"/>
    <w:rsid w:val="204617B2"/>
    <w:rsid w:val="20635A0A"/>
    <w:rsid w:val="208E5D79"/>
    <w:rsid w:val="2146615C"/>
    <w:rsid w:val="216F53E4"/>
    <w:rsid w:val="21E464DA"/>
    <w:rsid w:val="22386E92"/>
    <w:rsid w:val="23AB78FB"/>
    <w:rsid w:val="24303C58"/>
    <w:rsid w:val="246D2675"/>
    <w:rsid w:val="24A26B91"/>
    <w:rsid w:val="25A4045A"/>
    <w:rsid w:val="2648121C"/>
    <w:rsid w:val="26773DC1"/>
    <w:rsid w:val="26BE0E36"/>
    <w:rsid w:val="270B712E"/>
    <w:rsid w:val="27554102"/>
    <w:rsid w:val="27C60B5C"/>
    <w:rsid w:val="2828652E"/>
    <w:rsid w:val="28331C1B"/>
    <w:rsid w:val="285F4B0C"/>
    <w:rsid w:val="28734A03"/>
    <w:rsid w:val="2895453F"/>
    <w:rsid w:val="28D63020"/>
    <w:rsid w:val="292D0766"/>
    <w:rsid w:val="2986082B"/>
    <w:rsid w:val="29F85218"/>
    <w:rsid w:val="2A1E7932"/>
    <w:rsid w:val="2B253619"/>
    <w:rsid w:val="2B7B32CE"/>
    <w:rsid w:val="2BE750A0"/>
    <w:rsid w:val="2D4349FC"/>
    <w:rsid w:val="2D482013"/>
    <w:rsid w:val="2DAB07A6"/>
    <w:rsid w:val="2DD12008"/>
    <w:rsid w:val="2DD40FB1"/>
    <w:rsid w:val="2E6E7857"/>
    <w:rsid w:val="2EE34571"/>
    <w:rsid w:val="2FB92D54"/>
    <w:rsid w:val="30405223"/>
    <w:rsid w:val="311741D6"/>
    <w:rsid w:val="31697021"/>
    <w:rsid w:val="316A6185"/>
    <w:rsid w:val="31B646F4"/>
    <w:rsid w:val="31D76A2D"/>
    <w:rsid w:val="329D3CB5"/>
    <w:rsid w:val="32FF3174"/>
    <w:rsid w:val="332638F5"/>
    <w:rsid w:val="33294694"/>
    <w:rsid w:val="33A61841"/>
    <w:rsid w:val="34480AEF"/>
    <w:rsid w:val="34766943"/>
    <w:rsid w:val="347B5DC1"/>
    <w:rsid w:val="351A3A79"/>
    <w:rsid w:val="35374E47"/>
    <w:rsid w:val="353E2DEF"/>
    <w:rsid w:val="35A11EC0"/>
    <w:rsid w:val="361E7DB5"/>
    <w:rsid w:val="36E30F78"/>
    <w:rsid w:val="37023232"/>
    <w:rsid w:val="37360D3C"/>
    <w:rsid w:val="387719FE"/>
    <w:rsid w:val="38874396"/>
    <w:rsid w:val="38A03D8B"/>
    <w:rsid w:val="397F500E"/>
    <w:rsid w:val="39FB3B25"/>
    <w:rsid w:val="3A812240"/>
    <w:rsid w:val="3AE25855"/>
    <w:rsid w:val="3B345984"/>
    <w:rsid w:val="3B62553B"/>
    <w:rsid w:val="3B7C643E"/>
    <w:rsid w:val="3B8D1161"/>
    <w:rsid w:val="3BBD597A"/>
    <w:rsid w:val="3C1D60C2"/>
    <w:rsid w:val="3C3F2DF6"/>
    <w:rsid w:val="3D205025"/>
    <w:rsid w:val="3DC01751"/>
    <w:rsid w:val="3DD1570D"/>
    <w:rsid w:val="3DD75419"/>
    <w:rsid w:val="3DEF7BC0"/>
    <w:rsid w:val="3EB556A0"/>
    <w:rsid w:val="400B75FC"/>
    <w:rsid w:val="404A79DE"/>
    <w:rsid w:val="40706DDA"/>
    <w:rsid w:val="407133B9"/>
    <w:rsid w:val="411C3143"/>
    <w:rsid w:val="41F12821"/>
    <w:rsid w:val="432A376E"/>
    <w:rsid w:val="436F231C"/>
    <w:rsid w:val="43C753F0"/>
    <w:rsid w:val="43F568B2"/>
    <w:rsid w:val="445D375F"/>
    <w:rsid w:val="448C502F"/>
    <w:rsid w:val="448F085F"/>
    <w:rsid w:val="44B86E4E"/>
    <w:rsid w:val="44C50125"/>
    <w:rsid w:val="454005D0"/>
    <w:rsid w:val="461C16C9"/>
    <w:rsid w:val="46FF1CA5"/>
    <w:rsid w:val="47CD4185"/>
    <w:rsid w:val="48AD1F98"/>
    <w:rsid w:val="48B7241D"/>
    <w:rsid w:val="49417BEA"/>
    <w:rsid w:val="496438D9"/>
    <w:rsid w:val="49B77726"/>
    <w:rsid w:val="49E33295"/>
    <w:rsid w:val="4A0E6526"/>
    <w:rsid w:val="4A570F3A"/>
    <w:rsid w:val="4AA15E16"/>
    <w:rsid w:val="4AE64EED"/>
    <w:rsid w:val="4AFB588F"/>
    <w:rsid w:val="4B000530"/>
    <w:rsid w:val="4B83463F"/>
    <w:rsid w:val="4BC41F75"/>
    <w:rsid w:val="4BFC333F"/>
    <w:rsid w:val="4C9646F1"/>
    <w:rsid w:val="4D64034B"/>
    <w:rsid w:val="4DE81F80"/>
    <w:rsid w:val="4E355844"/>
    <w:rsid w:val="4F422087"/>
    <w:rsid w:val="4FB853A1"/>
    <w:rsid w:val="5118618C"/>
    <w:rsid w:val="51CA735E"/>
    <w:rsid w:val="53C71634"/>
    <w:rsid w:val="53DC7B04"/>
    <w:rsid w:val="54232D0E"/>
    <w:rsid w:val="5475636D"/>
    <w:rsid w:val="550D751A"/>
    <w:rsid w:val="55EC35D4"/>
    <w:rsid w:val="57030BD5"/>
    <w:rsid w:val="57122D57"/>
    <w:rsid w:val="575977B6"/>
    <w:rsid w:val="57BD7246"/>
    <w:rsid w:val="57E36932"/>
    <w:rsid w:val="585329D2"/>
    <w:rsid w:val="59CE33A8"/>
    <w:rsid w:val="5A8B6F17"/>
    <w:rsid w:val="5ABE17C8"/>
    <w:rsid w:val="5BB87046"/>
    <w:rsid w:val="5C556361"/>
    <w:rsid w:val="5C8E0F41"/>
    <w:rsid w:val="5D9D64D8"/>
    <w:rsid w:val="5F7056A6"/>
    <w:rsid w:val="610A61B4"/>
    <w:rsid w:val="61386D43"/>
    <w:rsid w:val="61C251E9"/>
    <w:rsid w:val="61F52EA8"/>
    <w:rsid w:val="62040243"/>
    <w:rsid w:val="62232D89"/>
    <w:rsid w:val="626D15F8"/>
    <w:rsid w:val="62960B4F"/>
    <w:rsid w:val="62D93A68"/>
    <w:rsid w:val="636522D0"/>
    <w:rsid w:val="63CC15CF"/>
    <w:rsid w:val="641963B7"/>
    <w:rsid w:val="642672D9"/>
    <w:rsid w:val="64BC23C3"/>
    <w:rsid w:val="663336A5"/>
    <w:rsid w:val="67010561"/>
    <w:rsid w:val="67212ADF"/>
    <w:rsid w:val="686314D3"/>
    <w:rsid w:val="687159AD"/>
    <w:rsid w:val="688D4DB2"/>
    <w:rsid w:val="68DA37DD"/>
    <w:rsid w:val="69DB0917"/>
    <w:rsid w:val="69FF347E"/>
    <w:rsid w:val="6A154662"/>
    <w:rsid w:val="6A3824EC"/>
    <w:rsid w:val="6A50515E"/>
    <w:rsid w:val="6AB2229E"/>
    <w:rsid w:val="6AE42367"/>
    <w:rsid w:val="6B722933"/>
    <w:rsid w:val="6BAA11C7"/>
    <w:rsid w:val="6D943EDD"/>
    <w:rsid w:val="6E873EA7"/>
    <w:rsid w:val="6EF62913"/>
    <w:rsid w:val="6F1420BE"/>
    <w:rsid w:val="6F5D0F98"/>
    <w:rsid w:val="6FEF189F"/>
    <w:rsid w:val="70326D5C"/>
    <w:rsid w:val="706E4681"/>
    <w:rsid w:val="70C60851"/>
    <w:rsid w:val="70E87136"/>
    <w:rsid w:val="72127AC6"/>
    <w:rsid w:val="72901CD2"/>
    <w:rsid w:val="72CE1C3F"/>
    <w:rsid w:val="72D97771"/>
    <w:rsid w:val="73691968"/>
    <w:rsid w:val="74373814"/>
    <w:rsid w:val="75A41B02"/>
    <w:rsid w:val="76BF399C"/>
    <w:rsid w:val="77456248"/>
    <w:rsid w:val="774E37FA"/>
    <w:rsid w:val="77E1039A"/>
    <w:rsid w:val="78281DF2"/>
    <w:rsid w:val="785E1CB7"/>
    <w:rsid w:val="78833532"/>
    <w:rsid w:val="795F7A95"/>
    <w:rsid w:val="79A97159"/>
    <w:rsid w:val="7A3C1B84"/>
    <w:rsid w:val="7B28549C"/>
    <w:rsid w:val="7B41219D"/>
    <w:rsid w:val="7B6B0973"/>
    <w:rsid w:val="7BE8657D"/>
    <w:rsid w:val="7BFE6529"/>
    <w:rsid w:val="7D8137AF"/>
    <w:rsid w:val="7DBA141A"/>
    <w:rsid w:val="7F127358"/>
    <w:rsid w:val="7FB80376"/>
    <w:rsid w:val="7FE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201</cp:revision>
  <cp:lastPrinted>2024-07-08T06:37:00Z</cp:lastPrinted>
  <dcterms:created xsi:type="dcterms:W3CDTF">2023-11-07T07:38:00Z</dcterms:created>
  <dcterms:modified xsi:type="dcterms:W3CDTF">2024-07-22T06:07:00Z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6E607A06DDDC438B844E9E3BB40909E5_13</vt:lpwstr>
  </property>
</Properties>
</file>