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4527" w:type="pct"/>
        <w:jc w:val="center"/>
        <w:tblInd w:w="-445" w:type="dxa"/>
        <w:tblLook w:val="04A0" w:firstRow="1" w:lastRow="0" w:firstColumn="1" w:lastColumn="0" w:noHBand="0" w:noVBand="1"/>
      </w:tblPr>
      <w:tblGrid>
        <w:gridCol w:w="1336"/>
        <w:gridCol w:w="2622"/>
        <w:gridCol w:w="3758"/>
      </w:tblGrid>
      <w:tr w:rsidR="00C807EB" w:rsidRPr="003A6CC6" w:rsidTr="00C807EB">
        <w:trPr>
          <w:trHeight w:val="520"/>
          <w:tblHeader/>
          <w:jc w:val="center"/>
        </w:trPr>
        <w:tc>
          <w:tcPr>
            <w:tcW w:w="866" w:type="pct"/>
            <w:vAlign w:val="center"/>
          </w:tcPr>
          <w:p w:rsidR="00C807EB" w:rsidRPr="003A6CC6" w:rsidRDefault="00C807EB" w:rsidP="00916DA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3A6CC6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1699" w:type="pct"/>
            <w:vAlign w:val="center"/>
          </w:tcPr>
          <w:p w:rsidR="00C807EB" w:rsidRPr="003A6CC6" w:rsidRDefault="00C807EB" w:rsidP="00916DA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3A6CC6">
              <w:rPr>
                <w:rFonts w:asciiTheme="minorEastAsia" w:hAnsiTheme="minorEastAsia"/>
                <w:b/>
                <w:szCs w:val="21"/>
              </w:rPr>
              <w:t>产品名称</w:t>
            </w:r>
          </w:p>
        </w:tc>
        <w:tc>
          <w:tcPr>
            <w:tcW w:w="2435" w:type="pct"/>
            <w:vAlign w:val="center"/>
          </w:tcPr>
          <w:p w:rsidR="00C807EB" w:rsidRPr="003A6CC6" w:rsidRDefault="00C807EB" w:rsidP="00916DA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  <w:r w:rsidRPr="003A6CC6">
              <w:rPr>
                <w:rFonts w:asciiTheme="minorEastAsia" w:hAnsiTheme="minorEastAsia" w:hint="eastAsia"/>
                <w:b/>
                <w:szCs w:val="21"/>
              </w:rPr>
              <w:t>产品</w:t>
            </w:r>
            <w:r w:rsidRPr="003A6CC6">
              <w:rPr>
                <w:rFonts w:asciiTheme="minorEastAsia" w:hAnsiTheme="minorEastAsia"/>
                <w:b/>
                <w:szCs w:val="21"/>
              </w:rPr>
              <w:t>参数要求</w:t>
            </w:r>
          </w:p>
        </w:tc>
      </w:tr>
      <w:tr w:rsidR="00C807EB" w:rsidRPr="003A6CC6" w:rsidTr="00C807EB">
        <w:trPr>
          <w:trHeight w:val="452"/>
          <w:jc w:val="center"/>
        </w:trPr>
        <w:tc>
          <w:tcPr>
            <w:tcW w:w="866" w:type="pct"/>
            <w:vMerge w:val="restart"/>
            <w:vAlign w:val="center"/>
          </w:tcPr>
          <w:p w:rsidR="00C807EB" w:rsidRPr="003A6CC6" w:rsidRDefault="00C807EB" w:rsidP="00916DAC">
            <w:pPr>
              <w:jc w:val="left"/>
              <w:rPr>
                <w:rFonts w:asciiTheme="minorEastAsia" w:hAnsiTheme="minorEastAsia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bCs/>
                <w:szCs w:val="21"/>
              </w:rPr>
              <w:t>微生物鉴定药</w:t>
            </w:r>
            <w:proofErr w:type="gramStart"/>
            <w:r w:rsidRPr="003A6CC6">
              <w:rPr>
                <w:rFonts w:asciiTheme="minorEastAsia" w:hAnsiTheme="minorEastAsia" w:cs="Times New Roman" w:hint="eastAsia"/>
                <w:bCs/>
                <w:szCs w:val="21"/>
              </w:rPr>
              <w:t>敏相关</w:t>
            </w:r>
            <w:proofErr w:type="gramEnd"/>
            <w:r w:rsidRPr="003A6CC6">
              <w:rPr>
                <w:rFonts w:asciiTheme="minorEastAsia" w:hAnsiTheme="minorEastAsia" w:cs="Times New Roman" w:hint="eastAsia"/>
                <w:bCs/>
                <w:szCs w:val="21"/>
              </w:rPr>
              <w:t>产品及设备租赁</w:t>
            </w:r>
          </w:p>
        </w:tc>
        <w:tc>
          <w:tcPr>
            <w:tcW w:w="1699" w:type="pct"/>
            <w:vAlign w:val="center"/>
          </w:tcPr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b/>
                <w:bCs/>
                <w:szCs w:val="21"/>
              </w:rPr>
              <w:t>一、微生物全自动鉴定及药敏产品</w:t>
            </w:r>
          </w:p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1.革兰氏阴性鉴定卡</w:t>
            </w:r>
          </w:p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2.革兰氏阳性鉴定卡</w:t>
            </w:r>
          </w:p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3.酵母菌鉴定卡</w:t>
            </w:r>
          </w:p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4.奈</w:t>
            </w:r>
            <w:proofErr w:type="gramStart"/>
            <w:r w:rsidRPr="003A6CC6">
              <w:rPr>
                <w:rFonts w:asciiTheme="minorEastAsia" w:hAnsiTheme="minorEastAsia" w:cs="Times New Roman" w:hint="eastAsia"/>
                <w:szCs w:val="21"/>
              </w:rPr>
              <w:t>瑟</w:t>
            </w:r>
            <w:proofErr w:type="gramEnd"/>
            <w:r w:rsidRPr="003A6CC6">
              <w:rPr>
                <w:rFonts w:asciiTheme="minorEastAsia" w:hAnsiTheme="minorEastAsia" w:cs="Times New Roman" w:hint="eastAsia"/>
                <w:szCs w:val="21"/>
              </w:rPr>
              <w:t>菌</w:t>
            </w:r>
            <w:r w:rsidRPr="003A6CC6">
              <w:rPr>
                <w:rFonts w:asciiTheme="minorEastAsia" w:hAnsiTheme="minorEastAsia" w:cs="Times New Roman"/>
                <w:szCs w:val="21"/>
              </w:rPr>
              <w:t>/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嗜血杆菌鉴定卡</w:t>
            </w:r>
          </w:p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5.革兰氏阴性细菌药敏卡</w:t>
            </w:r>
          </w:p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6.革兰氏阳性细菌药敏卡</w:t>
            </w:r>
          </w:p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7.肺炎链球菌药敏卡</w:t>
            </w:r>
          </w:p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8.革兰氏阳性细菌药敏卡</w:t>
            </w:r>
          </w:p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9.肠杆菌药敏卡</w:t>
            </w:r>
          </w:p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10.非</w:t>
            </w:r>
            <w:proofErr w:type="gramStart"/>
            <w:r w:rsidRPr="003A6CC6">
              <w:rPr>
                <w:rFonts w:asciiTheme="minorEastAsia" w:hAnsiTheme="minorEastAsia" w:cs="Times New Roman" w:hint="eastAsia"/>
                <w:szCs w:val="21"/>
              </w:rPr>
              <w:t>发酵菌药敏</w:t>
            </w:r>
            <w:proofErr w:type="gramEnd"/>
            <w:r w:rsidRPr="003A6CC6">
              <w:rPr>
                <w:rFonts w:asciiTheme="minorEastAsia" w:hAnsiTheme="minorEastAsia" w:cs="Times New Roman" w:hint="eastAsia"/>
                <w:szCs w:val="21"/>
              </w:rPr>
              <w:t>卡</w:t>
            </w:r>
          </w:p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11.酵母菌</w:t>
            </w:r>
            <w:proofErr w:type="gramStart"/>
            <w:r w:rsidRPr="003A6CC6">
              <w:rPr>
                <w:rFonts w:asciiTheme="minorEastAsia" w:hAnsiTheme="minorEastAsia" w:cs="Times New Roman" w:hint="eastAsia"/>
                <w:szCs w:val="21"/>
              </w:rPr>
              <w:t>药敏卡</w:t>
            </w:r>
            <w:proofErr w:type="gramEnd"/>
          </w:p>
        </w:tc>
        <w:tc>
          <w:tcPr>
            <w:tcW w:w="2435" w:type="pct"/>
            <w:vAlign w:val="center"/>
          </w:tcPr>
          <w:p w:rsidR="00C807EB" w:rsidRDefault="00C807EB" w:rsidP="00C807E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适用范围：适用于临床分离菌株的鉴定及药敏；</w:t>
            </w:r>
          </w:p>
          <w:p w:rsidR="00C807EB" w:rsidRPr="003A6CC6" w:rsidRDefault="00C807EB" w:rsidP="00C807E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鉴定卡：适用于细菌（含</w:t>
            </w:r>
            <w:proofErr w:type="gramStart"/>
            <w:r w:rsidRPr="003A6CC6">
              <w:rPr>
                <w:rFonts w:asciiTheme="minorEastAsia" w:hAnsiTheme="minorEastAsia" w:cs="Times New Roman" w:hint="eastAsia"/>
                <w:szCs w:val="21"/>
              </w:rPr>
              <w:t>苛</w:t>
            </w:r>
            <w:proofErr w:type="gramEnd"/>
            <w:r w:rsidRPr="003A6CC6">
              <w:rPr>
                <w:rFonts w:asciiTheme="minorEastAsia" w:hAnsiTheme="minorEastAsia" w:cs="Times New Roman" w:hint="eastAsia"/>
                <w:szCs w:val="21"/>
              </w:rPr>
              <w:t>养菌）、酵母样真菌等；</w:t>
            </w:r>
          </w:p>
          <w:p w:rsidR="00C807EB" w:rsidRDefault="00C807EB" w:rsidP="00C807E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药敏卡：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需覆盖肠杆菌目细菌、非发酵菌、葡萄球菌属、肠球菌属、链球菌属、酵母样真菌等；药物种类需符合CLSI推荐规则</w:t>
            </w:r>
            <w:r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FC01A9">
              <w:rPr>
                <w:rFonts w:hint="eastAsia"/>
                <w:color w:val="000000" w:themeColor="text1"/>
              </w:rPr>
              <w:t>单张</w:t>
            </w:r>
            <w:proofErr w:type="gramStart"/>
            <w:r w:rsidRPr="00FC01A9">
              <w:rPr>
                <w:rFonts w:hint="eastAsia"/>
                <w:color w:val="000000" w:themeColor="text1"/>
              </w:rPr>
              <w:t>药敏卡可</w:t>
            </w:r>
            <w:proofErr w:type="gramEnd"/>
            <w:r w:rsidRPr="00FC01A9">
              <w:rPr>
                <w:rFonts w:hint="eastAsia"/>
                <w:color w:val="000000" w:themeColor="text1"/>
              </w:rPr>
              <w:t>提供至少</w:t>
            </w:r>
            <w:r w:rsidRPr="00FC01A9">
              <w:rPr>
                <w:color w:val="000000" w:themeColor="text1"/>
              </w:rPr>
              <w:t>15</w:t>
            </w:r>
            <w:r w:rsidRPr="00FC01A9">
              <w:rPr>
                <w:rFonts w:hint="eastAsia"/>
                <w:color w:val="000000" w:themeColor="text1"/>
              </w:rPr>
              <w:t>种药物敏感性结果及</w:t>
            </w:r>
            <w:r w:rsidRPr="00FC01A9">
              <w:rPr>
                <w:color w:val="000000" w:themeColor="text1"/>
              </w:rPr>
              <w:t>MIC</w:t>
            </w:r>
            <w:r w:rsidRPr="00FC01A9">
              <w:rPr>
                <w:rFonts w:hint="eastAsia"/>
                <w:color w:val="000000" w:themeColor="text1"/>
              </w:rPr>
              <w:t>值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；</w:t>
            </w:r>
          </w:p>
          <w:p w:rsidR="00C807EB" w:rsidRPr="009E46AC" w:rsidRDefault="00C807EB" w:rsidP="00C807E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  <w:color w:val="000000" w:themeColor="text1"/>
              </w:rPr>
              <w:t>MIC</w:t>
            </w:r>
            <w:r>
              <w:rPr>
                <w:rFonts w:hint="eastAsia"/>
                <w:color w:val="000000" w:themeColor="text1"/>
              </w:rPr>
              <w:t>检测：</w:t>
            </w:r>
            <w:r w:rsidRPr="00FC01A9">
              <w:rPr>
                <w:rFonts w:hint="eastAsia"/>
                <w:color w:val="000000" w:themeColor="text1"/>
              </w:rPr>
              <w:t>可提供至少</w:t>
            </w:r>
            <w:r w:rsidRPr="00FC01A9">
              <w:rPr>
                <w:rFonts w:hint="eastAsia"/>
                <w:color w:val="000000" w:themeColor="text1"/>
              </w:rPr>
              <w:t>5</w:t>
            </w:r>
            <w:r w:rsidRPr="00FC01A9">
              <w:rPr>
                <w:rFonts w:hint="eastAsia"/>
                <w:color w:val="000000" w:themeColor="text1"/>
              </w:rPr>
              <w:t>个</w:t>
            </w:r>
            <w:r w:rsidRPr="00FC01A9">
              <w:rPr>
                <w:rFonts w:hint="eastAsia"/>
                <w:color w:val="000000" w:themeColor="text1"/>
              </w:rPr>
              <w:t>MIC</w:t>
            </w:r>
            <w:r w:rsidRPr="00FC01A9">
              <w:rPr>
                <w:rFonts w:hint="eastAsia"/>
                <w:color w:val="000000" w:themeColor="text1"/>
              </w:rPr>
              <w:t>浓度的报告范围，且完全覆盖</w:t>
            </w:r>
            <w:r w:rsidRPr="00FC01A9">
              <w:rPr>
                <w:rFonts w:hint="eastAsia"/>
                <w:color w:val="000000" w:themeColor="text1"/>
              </w:rPr>
              <w:t>CLSI</w:t>
            </w:r>
            <w:r w:rsidRPr="00FC01A9">
              <w:rPr>
                <w:rFonts w:hint="eastAsia"/>
                <w:color w:val="000000" w:themeColor="text1"/>
              </w:rPr>
              <w:t>、</w:t>
            </w:r>
            <w:r w:rsidRPr="00FC01A9">
              <w:rPr>
                <w:rFonts w:hint="eastAsia"/>
                <w:color w:val="000000" w:themeColor="text1"/>
              </w:rPr>
              <w:t>EUCAST</w:t>
            </w:r>
            <w:r w:rsidRPr="00FC01A9">
              <w:rPr>
                <w:rFonts w:hint="eastAsia"/>
                <w:color w:val="000000" w:themeColor="text1"/>
              </w:rPr>
              <w:t>的折点</w:t>
            </w:r>
            <w:r>
              <w:rPr>
                <w:rFonts w:hint="eastAsia"/>
                <w:color w:val="000000" w:themeColor="text1"/>
              </w:rPr>
              <w:t>范围；</w:t>
            </w:r>
          </w:p>
          <w:p w:rsidR="00C807EB" w:rsidRPr="003A6CC6" w:rsidRDefault="00C807EB" w:rsidP="00C807E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试剂适用于全自动细菌鉴定药敏仪（医院现有仪器梅里埃</w:t>
            </w:r>
            <w:r w:rsidRPr="003A6CC6">
              <w:rPr>
                <w:rFonts w:asciiTheme="minorEastAsia" w:hAnsiTheme="minorEastAsia" w:cs="Times New Roman"/>
                <w:szCs w:val="21"/>
              </w:rPr>
              <w:t>VITEK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 xml:space="preserve"> 2</w:t>
            </w:r>
            <w:r w:rsidRPr="003A6CC6">
              <w:rPr>
                <w:rFonts w:asciiTheme="minorEastAsia" w:hAnsiTheme="minorEastAsia" w:cs="Times New Roman"/>
                <w:szCs w:val="21"/>
              </w:rPr>
              <w:t xml:space="preserve"> COMPACT)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。如不适用，</w:t>
            </w:r>
            <w:r>
              <w:rPr>
                <w:rFonts w:asciiTheme="minorEastAsia" w:hAnsiTheme="minorEastAsia" w:cs="Times New Roman" w:hint="eastAsia"/>
                <w:szCs w:val="21"/>
              </w:rPr>
              <w:t>需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提供设备租赁服务。</w:t>
            </w:r>
          </w:p>
        </w:tc>
      </w:tr>
      <w:tr w:rsidR="00C807EB" w:rsidRPr="003A6CC6" w:rsidTr="00C807EB">
        <w:trPr>
          <w:trHeight w:val="1634"/>
          <w:jc w:val="center"/>
        </w:trPr>
        <w:tc>
          <w:tcPr>
            <w:tcW w:w="866" w:type="pct"/>
            <w:vMerge/>
            <w:tcBorders>
              <w:bottom w:val="single" w:sz="4" w:space="0" w:color="000000" w:themeColor="text1"/>
            </w:tcBorders>
            <w:vAlign w:val="center"/>
          </w:tcPr>
          <w:p w:rsidR="00C807EB" w:rsidRPr="003A6CC6" w:rsidRDefault="00C807EB" w:rsidP="00916DAC">
            <w:pPr>
              <w:jc w:val="left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699" w:type="pct"/>
            <w:tcBorders>
              <w:bottom w:val="single" w:sz="4" w:space="0" w:color="000000" w:themeColor="text1"/>
            </w:tcBorders>
            <w:vAlign w:val="center"/>
          </w:tcPr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b/>
                <w:szCs w:val="21"/>
              </w:rPr>
              <w:t>二、手工药敏产品</w:t>
            </w:r>
          </w:p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1.K-B法药敏纸片（一系列常用药物）</w:t>
            </w:r>
          </w:p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2.</w:t>
            </w:r>
            <w:r w:rsidRPr="003A6CC6">
              <w:rPr>
                <w:rFonts w:asciiTheme="minorEastAsia" w:hAnsiTheme="minorEastAsia" w:cs="Times New Roman"/>
                <w:szCs w:val="21"/>
              </w:rPr>
              <w:t>E-test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（一系列常用药物）</w:t>
            </w:r>
          </w:p>
          <w:p w:rsidR="00C807EB" w:rsidRPr="003A6CC6" w:rsidRDefault="00C807EB" w:rsidP="00916DAC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3.</w:t>
            </w:r>
            <w:r w:rsidRPr="003A6CC6">
              <w:rPr>
                <w:rFonts w:asciiTheme="minorEastAsia" w:hAnsiTheme="minorEastAsia" w:cs="Times New Roman"/>
                <w:szCs w:val="21"/>
              </w:rPr>
              <w:t>β-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内酰胺酶纸片</w:t>
            </w:r>
          </w:p>
        </w:tc>
        <w:tc>
          <w:tcPr>
            <w:tcW w:w="2435" w:type="pct"/>
            <w:tcBorders>
              <w:bottom w:val="single" w:sz="4" w:space="0" w:color="000000" w:themeColor="text1"/>
            </w:tcBorders>
          </w:tcPr>
          <w:p w:rsidR="00C807EB" w:rsidRPr="003A6CC6" w:rsidRDefault="00C807EB" w:rsidP="00C807E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药敏纸片种类需覆盖CLSI推荐的种类；</w:t>
            </w:r>
          </w:p>
          <w:p w:rsidR="00C807EB" w:rsidRDefault="00C807EB" w:rsidP="00C807E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药敏纸片性能稳定；</w:t>
            </w:r>
          </w:p>
          <w:p w:rsidR="00C807EB" w:rsidRPr="003A6CC6" w:rsidRDefault="00C807EB" w:rsidP="00C807E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质控菌株药敏结果在控。</w:t>
            </w:r>
          </w:p>
        </w:tc>
      </w:tr>
      <w:tr w:rsidR="00C807EB" w:rsidRPr="003A6CC6" w:rsidTr="00C807EB">
        <w:trPr>
          <w:trHeight w:val="734"/>
          <w:jc w:val="center"/>
        </w:trPr>
        <w:tc>
          <w:tcPr>
            <w:tcW w:w="866" w:type="pct"/>
            <w:vMerge/>
            <w:vAlign w:val="center"/>
          </w:tcPr>
          <w:p w:rsidR="00C807EB" w:rsidRPr="003A6CC6" w:rsidRDefault="00C807EB" w:rsidP="00916DA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9" w:type="pct"/>
            <w:vAlign w:val="center"/>
          </w:tcPr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4.酵母样真菌药敏试剂盒（微量稀释法）</w:t>
            </w:r>
          </w:p>
        </w:tc>
        <w:tc>
          <w:tcPr>
            <w:tcW w:w="2435" w:type="pct"/>
          </w:tcPr>
          <w:p w:rsidR="00C807EB" w:rsidRPr="003A6CC6" w:rsidRDefault="00C807EB" w:rsidP="00C807EB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可检测念珠菌及新型</w:t>
            </w:r>
            <w:proofErr w:type="gramStart"/>
            <w:r w:rsidRPr="003A6CC6">
              <w:rPr>
                <w:rFonts w:asciiTheme="minorEastAsia" w:hAnsiTheme="minorEastAsia" w:cs="Times New Roman" w:hint="eastAsia"/>
                <w:szCs w:val="21"/>
              </w:rPr>
              <w:t>隐</w:t>
            </w:r>
            <w:proofErr w:type="gramEnd"/>
            <w:r w:rsidRPr="003A6CC6">
              <w:rPr>
                <w:rFonts w:asciiTheme="minorEastAsia" w:hAnsiTheme="minorEastAsia" w:cs="Times New Roman" w:hint="eastAsia"/>
                <w:szCs w:val="21"/>
              </w:rPr>
              <w:t>球菌等的药敏；</w:t>
            </w:r>
          </w:p>
          <w:p w:rsidR="00C807EB" w:rsidRPr="003A6CC6" w:rsidRDefault="00C807EB" w:rsidP="00C807EB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准确度及重复性≥</w:t>
            </w:r>
            <w:r w:rsidRPr="003A6CC6">
              <w:rPr>
                <w:rFonts w:asciiTheme="minorEastAsia" w:hAnsiTheme="minorEastAsia" w:cs="Times New Roman"/>
                <w:szCs w:val="21"/>
              </w:rPr>
              <w:t>95%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</w:tc>
      </w:tr>
      <w:tr w:rsidR="00C807EB" w:rsidRPr="003A6CC6" w:rsidTr="00C807EB">
        <w:trPr>
          <w:trHeight w:val="844"/>
          <w:jc w:val="center"/>
        </w:trPr>
        <w:tc>
          <w:tcPr>
            <w:tcW w:w="866" w:type="pct"/>
            <w:vMerge/>
            <w:vAlign w:val="center"/>
          </w:tcPr>
          <w:p w:rsidR="00C807EB" w:rsidRPr="003A6CC6" w:rsidRDefault="00C807EB" w:rsidP="00916DA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9" w:type="pct"/>
            <w:vAlign w:val="center"/>
          </w:tcPr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b/>
                <w:szCs w:val="21"/>
              </w:rPr>
              <w:t>三、支原体</w:t>
            </w:r>
            <w:r w:rsidRPr="003A6CC6">
              <w:rPr>
                <w:rFonts w:asciiTheme="minorEastAsia" w:hAnsiTheme="minorEastAsia" w:cs="Times New Roman"/>
                <w:b/>
                <w:szCs w:val="21"/>
              </w:rPr>
              <w:t>(UU/</w:t>
            </w:r>
            <w:proofErr w:type="spellStart"/>
            <w:r w:rsidRPr="003A6CC6">
              <w:rPr>
                <w:rFonts w:asciiTheme="minorEastAsia" w:hAnsiTheme="minorEastAsia" w:cs="Times New Roman"/>
                <w:b/>
                <w:szCs w:val="21"/>
              </w:rPr>
              <w:t>Mh</w:t>
            </w:r>
            <w:proofErr w:type="spellEnd"/>
            <w:r w:rsidRPr="003A6CC6">
              <w:rPr>
                <w:rFonts w:asciiTheme="minorEastAsia" w:hAnsiTheme="minorEastAsia" w:cs="Times New Roman"/>
                <w:b/>
                <w:szCs w:val="21"/>
              </w:rPr>
              <w:t>)</w:t>
            </w:r>
            <w:r w:rsidRPr="003A6CC6">
              <w:rPr>
                <w:rFonts w:asciiTheme="minorEastAsia" w:hAnsiTheme="minorEastAsia" w:cs="Times New Roman" w:hint="eastAsia"/>
                <w:b/>
                <w:szCs w:val="21"/>
              </w:rPr>
              <w:t>培养药敏试剂盒</w:t>
            </w:r>
          </w:p>
        </w:tc>
        <w:tc>
          <w:tcPr>
            <w:tcW w:w="2435" w:type="pct"/>
            <w:vAlign w:val="center"/>
          </w:tcPr>
          <w:p w:rsidR="00C807EB" w:rsidRPr="003A6CC6" w:rsidRDefault="00C807EB" w:rsidP="00C807EB">
            <w:pPr>
              <w:pStyle w:val="a6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能有效抑制细菌及真菌等对检测的干扰；</w:t>
            </w:r>
          </w:p>
          <w:p w:rsidR="00C807EB" w:rsidRPr="003A6CC6" w:rsidRDefault="00C807EB" w:rsidP="00C807EB">
            <w:pPr>
              <w:pStyle w:val="a6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分离培养的重复性要求</w:t>
            </w:r>
            <w:r w:rsidRPr="003A6CC6">
              <w:rPr>
                <w:rFonts w:asciiTheme="minorEastAsia" w:hAnsiTheme="minorEastAsia" w:cs="Times New Roman"/>
                <w:szCs w:val="21"/>
              </w:rPr>
              <w:t>100%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；</w:t>
            </w:r>
          </w:p>
          <w:p w:rsidR="00C807EB" w:rsidRPr="003A6CC6" w:rsidRDefault="00C807EB" w:rsidP="00C807EB">
            <w:pPr>
              <w:pStyle w:val="a6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药敏重复性要求</w:t>
            </w:r>
            <w:r w:rsidRPr="003A6CC6">
              <w:rPr>
                <w:rFonts w:asciiTheme="minorEastAsia" w:hAnsiTheme="minorEastAsia" w:cs="Times New Roman"/>
                <w:szCs w:val="21"/>
              </w:rPr>
              <w:t>90%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以上。</w:t>
            </w:r>
          </w:p>
        </w:tc>
      </w:tr>
      <w:tr w:rsidR="00C807EB" w:rsidRPr="003A6CC6" w:rsidTr="00C807EB">
        <w:trPr>
          <w:trHeight w:val="2737"/>
          <w:jc w:val="center"/>
        </w:trPr>
        <w:tc>
          <w:tcPr>
            <w:tcW w:w="866" w:type="pct"/>
            <w:vMerge/>
            <w:vAlign w:val="center"/>
          </w:tcPr>
          <w:p w:rsidR="00C807EB" w:rsidRPr="003A6CC6" w:rsidRDefault="00C807EB" w:rsidP="00916DA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9" w:type="pct"/>
            <w:vAlign w:val="center"/>
          </w:tcPr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b/>
                <w:szCs w:val="21"/>
              </w:rPr>
              <w:t>四、诊断血清</w:t>
            </w:r>
          </w:p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1.沙门</w:t>
            </w:r>
            <w:proofErr w:type="gramStart"/>
            <w:r w:rsidRPr="003A6CC6">
              <w:rPr>
                <w:rFonts w:asciiTheme="minorEastAsia" w:hAnsiTheme="minorEastAsia" w:cs="Times New Roman" w:hint="eastAsia"/>
                <w:szCs w:val="21"/>
              </w:rPr>
              <w:t>菌</w:t>
            </w:r>
            <w:proofErr w:type="gramEnd"/>
            <w:r w:rsidRPr="003A6CC6">
              <w:rPr>
                <w:rFonts w:asciiTheme="minorEastAsia" w:hAnsiTheme="minorEastAsia" w:cs="Times New Roman" w:hint="eastAsia"/>
                <w:szCs w:val="21"/>
              </w:rPr>
              <w:t>诊断血清（单支包装及不同组合包装）</w:t>
            </w:r>
          </w:p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 xml:space="preserve">2. </w:t>
            </w:r>
            <w:proofErr w:type="gramStart"/>
            <w:r w:rsidRPr="003A6CC6">
              <w:rPr>
                <w:rFonts w:asciiTheme="minorEastAsia" w:hAnsiTheme="minorEastAsia" w:cs="Times New Roman" w:hint="eastAsia"/>
                <w:szCs w:val="21"/>
              </w:rPr>
              <w:t>志贺菌诊断</w:t>
            </w:r>
            <w:proofErr w:type="gramEnd"/>
            <w:r w:rsidRPr="003A6CC6">
              <w:rPr>
                <w:rFonts w:asciiTheme="minorEastAsia" w:hAnsiTheme="minorEastAsia" w:cs="Times New Roman" w:hint="eastAsia"/>
                <w:szCs w:val="21"/>
              </w:rPr>
              <w:t>血清（单支包装及不同组合包装）</w:t>
            </w:r>
          </w:p>
          <w:p w:rsidR="00C807EB" w:rsidRPr="003A6CC6" w:rsidRDefault="00C807EB" w:rsidP="00916DA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3. 霍乱弧菌诊断血清（</w:t>
            </w:r>
            <w:r w:rsidRPr="003A6CC6">
              <w:rPr>
                <w:rFonts w:asciiTheme="minorEastAsia" w:hAnsiTheme="minorEastAsia" w:cs="Times New Roman"/>
                <w:szCs w:val="21"/>
              </w:rPr>
              <w:t>O1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3A6CC6">
              <w:rPr>
                <w:rFonts w:asciiTheme="minorEastAsia" w:hAnsiTheme="minorEastAsia" w:cs="Times New Roman"/>
                <w:szCs w:val="21"/>
              </w:rPr>
              <w:t>O139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，小川，稻叶</w:t>
            </w:r>
            <w:r w:rsidRPr="003A6CC6">
              <w:rPr>
                <w:rFonts w:asciiTheme="minorEastAsia" w:hAnsiTheme="minorEastAsia" w:cs="Times New Roman"/>
                <w:szCs w:val="21"/>
              </w:rPr>
              <w:t>4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种组合包装）</w:t>
            </w:r>
          </w:p>
        </w:tc>
        <w:tc>
          <w:tcPr>
            <w:tcW w:w="2435" w:type="pct"/>
            <w:vAlign w:val="center"/>
          </w:tcPr>
          <w:p w:rsidR="00C807EB" w:rsidRPr="003A6CC6" w:rsidRDefault="00C807EB" w:rsidP="00916DAC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血清特异性强；与肠道常见致病菌无交叉凝集。</w:t>
            </w:r>
          </w:p>
        </w:tc>
      </w:tr>
    </w:tbl>
    <w:p w:rsidR="00F178EF" w:rsidRPr="00C807EB" w:rsidRDefault="00F178EF"/>
    <w:sectPr w:rsidR="00F178EF" w:rsidRPr="00C8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28" w:rsidRDefault="00997D28" w:rsidP="00C807EB">
      <w:r>
        <w:separator/>
      </w:r>
    </w:p>
  </w:endnote>
  <w:endnote w:type="continuationSeparator" w:id="0">
    <w:p w:rsidR="00997D28" w:rsidRDefault="00997D28" w:rsidP="00C8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28" w:rsidRDefault="00997D28" w:rsidP="00C807EB">
      <w:r>
        <w:separator/>
      </w:r>
    </w:p>
  </w:footnote>
  <w:footnote w:type="continuationSeparator" w:id="0">
    <w:p w:rsidR="00997D28" w:rsidRDefault="00997D28" w:rsidP="00C8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DB3"/>
    <w:multiLevelType w:val="hybridMultilevel"/>
    <w:tmpl w:val="ACF84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D037C8"/>
    <w:multiLevelType w:val="hybridMultilevel"/>
    <w:tmpl w:val="48C2B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FE21BF"/>
    <w:multiLevelType w:val="hybridMultilevel"/>
    <w:tmpl w:val="95008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C302DA"/>
    <w:multiLevelType w:val="hybridMultilevel"/>
    <w:tmpl w:val="38CC7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533022"/>
    <w:multiLevelType w:val="hybridMultilevel"/>
    <w:tmpl w:val="6D34055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6DA937AD"/>
    <w:multiLevelType w:val="hybridMultilevel"/>
    <w:tmpl w:val="53D68B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4C2C64"/>
    <w:multiLevelType w:val="hybridMultilevel"/>
    <w:tmpl w:val="704EC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5D669E"/>
    <w:multiLevelType w:val="hybridMultilevel"/>
    <w:tmpl w:val="F04657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855CC2"/>
    <w:multiLevelType w:val="hybridMultilevel"/>
    <w:tmpl w:val="8CB206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826678"/>
    <w:multiLevelType w:val="hybridMultilevel"/>
    <w:tmpl w:val="88084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D6"/>
    <w:rsid w:val="00997D28"/>
    <w:rsid w:val="00AF64D6"/>
    <w:rsid w:val="00C807EB"/>
    <w:rsid w:val="00F1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7EB"/>
    <w:rPr>
      <w:sz w:val="18"/>
      <w:szCs w:val="18"/>
    </w:rPr>
  </w:style>
  <w:style w:type="table" w:styleId="a5">
    <w:name w:val="Table Grid"/>
    <w:basedOn w:val="a1"/>
    <w:uiPriority w:val="59"/>
    <w:qFormat/>
    <w:rsid w:val="00C807E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07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7EB"/>
    <w:rPr>
      <w:sz w:val="18"/>
      <w:szCs w:val="18"/>
    </w:rPr>
  </w:style>
  <w:style w:type="table" w:styleId="a5">
    <w:name w:val="Table Grid"/>
    <w:basedOn w:val="a1"/>
    <w:uiPriority w:val="59"/>
    <w:qFormat/>
    <w:rsid w:val="00C807E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07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2024-08-01T03:31:00Z</dcterms:created>
  <dcterms:modified xsi:type="dcterms:W3CDTF">2024-08-01T03:32:00Z</dcterms:modified>
</cp:coreProperties>
</file>