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19" w:rsidRDefault="00456819"/>
    <w:p w:rsidR="00456819" w:rsidRDefault="002F1251">
      <w:pPr>
        <w:jc w:val="center"/>
        <w:rPr>
          <w:sz w:val="28"/>
        </w:rPr>
      </w:pPr>
      <w:r>
        <w:rPr>
          <w:rFonts w:hint="eastAsia"/>
          <w:sz w:val="28"/>
        </w:rPr>
        <w:t>活化凝血时间测定项目具体参数要求</w:t>
      </w:r>
    </w:p>
    <w:p w:rsidR="00456819" w:rsidRDefault="00456819">
      <w:pPr>
        <w:jc w:val="center"/>
      </w:pPr>
    </w:p>
    <w:tbl>
      <w:tblPr>
        <w:tblStyle w:val="a6"/>
        <w:tblW w:w="7767" w:type="dxa"/>
        <w:jc w:val="center"/>
        <w:tblLook w:val="04A0" w:firstRow="1" w:lastRow="0" w:firstColumn="1" w:lastColumn="0" w:noHBand="0" w:noVBand="1"/>
      </w:tblPr>
      <w:tblGrid>
        <w:gridCol w:w="1814"/>
        <w:gridCol w:w="1845"/>
        <w:gridCol w:w="4108"/>
      </w:tblGrid>
      <w:tr w:rsidR="00983F34" w:rsidTr="00983F34">
        <w:trPr>
          <w:trHeight w:val="841"/>
          <w:jc w:val="center"/>
        </w:trPr>
        <w:tc>
          <w:tcPr>
            <w:tcW w:w="1814" w:type="dxa"/>
            <w:vAlign w:val="center"/>
          </w:tcPr>
          <w:p w:rsidR="00983F34" w:rsidRDefault="00983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845" w:type="dxa"/>
            <w:vAlign w:val="center"/>
          </w:tcPr>
          <w:p w:rsidR="00983F34" w:rsidRDefault="00983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4108" w:type="dxa"/>
            <w:vAlign w:val="center"/>
          </w:tcPr>
          <w:p w:rsidR="00983F34" w:rsidRDefault="00983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>
              <w:rPr>
                <w:b/>
                <w:sz w:val="24"/>
                <w:szCs w:val="24"/>
              </w:rPr>
              <w:t>参数要求</w:t>
            </w:r>
          </w:p>
        </w:tc>
      </w:tr>
      <w:tr w:rsidR="00983F34" w:rsidTr="00983F34">
        <w:trPr>
          <w:trHeight w:val="6343"/>
          <w:jc w:val="center"/>
        </w:trPr>
        <w:tc>
          <w:tcPr>
            <w:tcW w:w="1814" w:type="dxa"/>
            <w:vAlign w:val="center"/>
          </w:tcPr>
          <w:p w:rsidR="00983F34" w:rsidRDefault="00983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活化凝血时间测定</w:t>
            </w:r>
          </w:p>
        </w:tc>
        <w:tc>
          <w:tcPr>
            <w:tcW w:w="1845" w:type="dxa"/>
            <w:vAlign w:val="center"/>
          </w:tcPr>
          <w:p w:rsidR="00983F34" w:rsidRDefault="00983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活化凝血时间测定试剂</w:t>
            </w:r>
          </w:p>
        </w:tc>
        <w:tc>
          <w:tcPr>
            <w:tcW w:w="4108" w:type="dxa"/>
            <w:vAlign w:val="center"/>
          </w:tcPr>
          <w:p w:rsidR="00983F34" w:rsidRDefault="00983F34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>
              <w:rPr>
                <w:rFonts w:hint="eastAsia"/>
                <w:szCs w:val="21"/>
              </w:rPr>
              <w:t>．适用范围：用于体外循环手术病人术前、术中、术后的活化凝血时间床边的快速检测。</w:t>
            </w:r>
          </w:p>
          <w:p w:rsidR="00983F34" w:rsidRDefault="00983F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二．检测要求：</w:t>
            </w:r>
          </w:p>
          <w:p w:rsidR="00983F34" w:rsidRDefault="00983F3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检测方法：凝固法。</w:t>
            </w:r>
          </w:p>
          <w:p w:rsidR="00983F34" w:rsidRDefault="00983F3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检测时间：≤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分钟</w:t>
            </w:r>
          </w:p>
          <w:p w:rsidR="00983F34" w:rsidRDefault="00983F34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配套目前使用的设备，①美</w:t>
            </w:r>
            <w:proofErr w:type="gramStart"/>
            <w:r>
              <w:rPr>
                <w:rFonts w:hint="eastAsia"/>
                <w:szCs w:val="21"/>
              </w:rPr>
              <w:t>敦</w:t>
            </w:r>
            <w:proofErr w:type="gramEnd"/>
            <w:r>
              <w:rPr>
                <w:rFonts w:hint="eastAsia"/>
                <w:szCs w:val="21"/>
              </w:rPr>
              <w:t>力凝血时间自动测定仪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(ACTⅡ)或②</w:t>
            </w:r>
            <w:r>
              <w:rPr>
                <w:rFonts w:hint="eastAsia"/>
                <w:szCs w:val="21"/>
              </w:rPr>
              <w:t>海伦</w:t>
            </w:r>
            <w:proofErr w:type="gramStart"/>
            <w:r>
              <w:rPr>
                <w:rFonts w:hint="eastAsia"/>
                <w:szCs w:val="21"/>
              </w:rPr>
              <w:t>娜</w:t>
            </w:r>
            <w:proofErr w:type="gramEnd"/>
            <w:r>
              <w:rPr>
                <w:rFonts w:hint="eastAsia"/>
                <w:szCs w:val="21"/>
              </w:rPr>
              <w:t>实验室</w:t>
            </w:r>
            <w:proofErr w:type="spellStart"/>
            <w:r>
              <w:rPr>
                <w:rFonts w:hint="eastAsia"/>
                <w:szCs w:val="21"/>
              </w:rPr>
              <w:t>Actalyke</w:t>
            </w:r>
            <w:proofErr w:type="spellEnd"/>
            <w:r>
              <w:rPr>
                <w:rFonts w:hint="eastAsia"/>
                <w:szCs w:val="21"/>
              </w:rPr>
              <w:t>仪器（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 xml:space="preserve">INI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Ⅱ型</w:t>
            </w:r>
            <w:r>
              <w:rPr>
                <w:rFonts w:hint="eastAsia"/>
                <w:szCs w:val="21"/>
              </w:rPr>
              <w:t>）。如无法配套使用，需提供相应的解决方案。</w:t>
            </w:r>
          </w:p>
          <w:p w:rsidR="00983F34" w:rsidRDefault="00983F34">
            <w:pPr>
              <w:pStyle w:val="a5"/>
              <w:widowControl/>
              <w:spacing w:beforeAutospacing="0" w:afterAutospacing="0"/>
              <w:rPr>
                <w:kern w:val="2"/>
                <w:sz w:val="21"/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三．</w:t>
            </w:r>
            <w:r>
              <w:rPr>
                <w:rFonts w:cstheme="minorBidi"/>
                <w:kern w:val="2"/>
                <w:sz w:val="21"/>
                <w:szCs w:val="21"/>
              </w:rPr>
              <w:t>服务要求</w:t>
            </w:r>
          </w:p>
          <w:p w:rsidR="00983F34" w:rsidRDefault="00983F34">
            <w:pPr>
              <w:pStyle w:val="a5"/>
              <w:widowControl/>
              <w:spacing w:beforeAutospacing="0" w:afterAutospacing="0"/>
              <w:rPr>
                <w:kern w:val="2"/>
                <w:sz w:val="21"/>
                <w:szCs w:val="21"/>
              </w:rPr>
            </w:pPr>
            <w:r>
              <w:rPr>
                <w:rFonts w:cstheme="minorBidi"/>
                <w:kern w:val="2"/>
                <w:sz w:val="21"/>
                <w:szCs w:val="21"/>
              </w:rPr>
              <w:t>1</w:t>
            </w:r>
            <w:r>
              <w:rPr>
                <w:rFonts w:cstheme="minorBidi"/>
                <w:kern w:val="2"/>
                <w:sz w:val="21"/>
                <w:szCs w:val="21"/>
              </w:rPr>
              <w:t>、所供试剂具有完善的销售供应和售后服务的保障体系，货源充足，供货及时，冷链运输，具有</w:t>
            </w:r>
            <w:r>
              <w:rPr>
                <w:rFonts w:cstheme="minorBidi"/>
                <w:kern w:val="2"/>
                <w:sz w:val="21"/>
                <w:szCs w:val="21"/>
              </w:rPr>
              <w:t>24</w:t>
            </w:r>
            <w:r>
              <w:rPr>
                <w:rFonts w:cstheme="minorBidi"/>
                <w:kern w:val="2"/>
                <w:sz w:val="21"/>
                <w:szCs w:val="21"/>
              </w:rPr>
              <w:t>小时内加急供货的应急能力。</w:t>
            </w:r>
          </w:p>
          <w:p w:rsidR="00983F34" w:rsidRDefault="00983F34">
            <w:pPr>
              <w:pStyle w:val="a5"/>
              <w:widowControl/>
              <w:spacing w:beforeAutospacing="0" w:afterAutospacing="0"/>
              <w:rPr>
                <w:kern w:val="2"/>
                <w:sz w:val="21"/>
                <w:szCs w:val="21"/>
              </w:rPr>
            </w:pPr>
            <w:r>
              <w:rPr>
                <w:rFonts w:cstheme="minorBidi"/>
                <w:kern w:val="2"/>
                <w:sz w:val="21"/>
                <w:szCs w:val="21"/>
              </w:rPr>
              <w:t>2</w:t>
            </w:r>
            <w:r>
              <w:rPr>
                <w:rFonts w:cstheme="minorBidi"/>
                <w:kern w:val="2"/>
                <w:sz w:val="21"/>
                <w:szCs w:val="21"/>
              </w:rPr>
              <w:t>、所供试剂参数和设备符合临床使用需求，免费升级软硬件以适应临床需要。</w:t>
            </w:r>
          </w:p>
          <w:p w:rsidR="00983F34" w:rsidRDefault="00983F34">
            <w:pPr>
              <w:pStyle w:val="a5"/>
              <w:widowControl/>
              <w:spacing w:beforeAutospacing="0" w:afterAutospacing="0"/>
              <w:rPr>
                <w:kern w:val="2"/>
                <w:sz w:val="21"/>
                <w:szCs w:val="21"/>
              </w:rPr>
            </w:pPr>
            <w:r>
              <w:rPr>
                <w:rFonts w:cstheme="minorBidi"/>
                <w:kern w:val="2"/>
                <w:sz w:val="21"/>
                <w:szCs w:val="21"/>
              </w:rPr>
              <w:t>3</w:t>
            </w:r>
            <w:r>
              <w:rPr>
                <w:rFonts w:cstheme="minorBidi"/>
                <w:kern w:val="2"/>
                <w:sz w:val="21"/>
                <w:szCs w:val="21"/>
              </w:rPr>
              <w:t>、试剂和设备运输、安装至正常使用所产生的一切费用由供应商承担。</w:t>
            </w:r>
          </w:p>
          <w:p w:rsidR="00983F34" w:rsidRDefault="00983F34">
            <w:pPr>
              <w:pStyle w:val="a5"/>
              <w:widowControl/>
              <w:spacing w:beforeAutospacing="0" w:afterAutospacing="0"/>
              <w:rPr>
                <w:kern w:val="2"/>
                <w:sz w:val="21"/>
                <w:szCs w:val="21"/>
              </w:rPr>
            </w:pPr>
            <w:r>
              <w:rPr>
                <w:rFonts w:cstheme="minorBidi"/>
                <w:kern w:val="2"/>
                <w:sz w:val="21"/>
                <w:szCs w:val="21"/>
              </w:rPr>
              <w:t>4</w:t>
            </w:r>
            <w:r>
              <w:rPr>
                <w:rFonts w:cstheme="minorBidi"/>
                <w:kern w:val="2"/>
                <w:sz w:val="21"/>
                <w:szCs w:val="21"/>
              </w:rPr>
              <w:t>、试剂必须在浙江省药械平台中标或有阳光采购代码；若无产品代码，中标产品须在</w:t>
            </w:r>
            <w:r>
              <w:rPr>
                <w:rFonts w:cstheme="minorBidi"/>
                <w:kern w:val="2"/>
                <w:sz w:val="21"/>
                <w:szCs w:val="21"/>
              </w:rPr>
              <w:t>6</w:t>
            </w:r>
            <w:r>
              <w:rPr>
                <w:rFonts w:cstheme="minorBidi"/>
                <w:kern w:val="2"/>
                <w:sz w:val="21"/>
                <w:szCs w:val="21"/>
              </w:rPr>
              <w:t>个月内提供相应产品代码。</w:t>
            </w:r>
          </w:p>
          <w:p w:rsidR="00983F34" w:rsidRDefault="00983F34">
            <w:pPr>
              <w:pStyle w:val="a5"/>
              <w:widowControl/>
              <w:spacing w:beforeAutospacing="0" w:afterAutospacing="0"/>
              <w:rPr>
                <w:szCs w:val="21"/>
              </w:rPr>
            </w:pPr>
            <w:r>
              <w:rPr>
                <w:rFonts w:cstheme="minorBidi" w:hint="eastAsia"/>
                <w:kern w:val="2"/>
                <w:sz w:val="21"/>
                <w:szCs w:val="21"/>
              </w:rPr>
              <w:t>5</w:t>
            </w:r>
            <w:r>
              <w:rPr>
                <w:rFonts w:cstheme="minorBidi"/>
                <w:kern w:val="2"/>
                <w:sz w:val="21"/>
                <w:szCs w:val="21"/>
              </w:rPr>
              <w:t>、提供的产品和设备必须具有医疗器械注册证或证明文件。</w:t>
            </w:r>
          </w:p>
        </w:tc>
      </w:tr>
    </w:tbl>
    <w:p w:rsidR="00456819" w:rsidRDefault="00456819">
      <w:pPr>
        <w:ind w:firstLineChars="350" w:firstLine="735"/>
        <w:jc w:val="left"/>
      </w:pPr>
      <w:bookmarkStart w:id="0" w:name="_GoBack"/>
      <w:bookmarkEnd w:id="0"/>
    </w:p>
    <w:sectPr w:rsidR="00456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B7" w:rsidRDefault="00512AB7" w:rsidP="00983F34">
      <w:r>
        <w:separator/>
      </w:r>
    </w:p>
  </w:endnote>
  <w:endnote w:type="continuationSeparator" w:id="0">
    <w:p w:rsidR="00512AB7" w:rsidRDefault="00512AB7" w:rsidP="0098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B7" w:rsidRDefault="00512AB7" w:rsidP="00983F34">
      <w:r>
        <w:separator/>
      </w:r>
    </w:p>
  </w:footnote>
  <w:footnote w:type="continuationSeparator" w:id="0">
    <w:p w:rsidR="00512AB7" w:rsidRDefault="00512AB7" w:rsidP="0098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2EE17E"/>
    <w:multiLevelType w:val="singleLevel"/>
    <w:tmpl w:val="EB2EE1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2U1MzM0NDYzZmJjNWEwNTVjNmYxMjliZmE4MmUifQ=="/>
  </w:docVars>
  <w:rsids>
    <w:rsidRoot w:val="0049316F"/>
    <w:rsid w:val="00055DCF"/>
    <w:rsid w:val="00064CCB"/>
    <w:rsid w:val="00074719"/>
    <w:rsid w:val="000773AC"/>
    <w:rsid w:val="00092D23"/>
    <w:rsid w:val="000A1E05"/>
    <w:rsid w:val="000C162C"/>
    <w:rsid w:val="000D2F6A"/>
    <w:rsid w:val="00182B76"/>
    <w:rsid w:val="001E40DD"/>
    <w:rsid w:val="002142FA"/>
    <w:rsid w:val="002167C2"/>
    <w:rsid w:val="0026685C"/>
    <w:rsid w:val="002A2296"/>
    <w:rsid w:val="002F1251"/>
    <w:rsid w:val="002F6703"/>
    <w:rsid w:val="00312D99"/>
    <w:rsid w:val="0035561E"/>
    <w:rsid w:val="003656FB"/>
    <w:rsid w:val="003A4BA6"/>
    <w:rsid w:val="003D3E5C"/>
    <w:rsid w:val="003D6CF4"/>
    <w:rsid w:val="004074A4"/>
    <w:rsid w:val="004512B2"/>
    <w:rsid w:val="00456819"/>
    <w:rsid w:val="00456EF3"/>
    <w:rsid w:val="00483CE2"/>
    <w:rsid w:val="0049316F"/>
    <w:rsid w:val="004A3FAF"/>
    <w:rsid w:val="004E4919"/>
    <w:rsid w:val="004E6B7B"/>
    <w:rsid w:val="00512AB7"/>
    <w:rsid w:val="00553E49"/>
    <w:rsid w:val="005C5D70"/>
    <w:rsid w:val="005E6E19"/>
    <w:rsid w:val="00606C03"/>
    <w:rsid w:val="0065090F"/>
    <w:rsid w:val="006A6A7A"/>
    <w:rsid w:val="006C2211"/>
    <w:rsid w:val="006D291F"/>
    <w:rsid w:val="006F3D20"/>
    <w:rsid w:val="007314F3"/>
    <w:rsid w:val="007B10C1"/>
    <w:rsid w:val="007B5C16"/>
    <w:rsid w:val="007F1942"/>
    <w:rsid w:val="0082056B"/>
    <w:rsid w:val="008566A8"/>
    <w:rsid w:val="008C6DF2"/>
    <w:rsid w:val="009012A9"/>
    <w:rsid w:val="0091607C"/>
    <w:rsid w:val="00917859"/>
    <w:rsid w:val="00924B5B"/>
    <w:rsid w:val="00926871"/>
    <w:rsid w:val="00927972"/>
    <w:rsid w:val="0095558C"/>
    <w:rsid w:val="00977AC8"/>
    <w:rsid w:val="00983F34"/>
    <w:rsid w:val="009A3847"/>
    <w:rsid w:val="00A03B5E"/>
    <w:rsid w:val="00A05EE3"/>
    <w:rsid w:val="00A354BE"/>
    <w:rsid w:val="00A6452F"/>
    <w:rsid w:val="00AC5380"/>
    <w:rsid w:val="00AE3A1D"/>
    <w:rsid w:val="00B41878"/>
    <w:rsid w:val="00B8479F"/>
    <w:rsid w:val="00BA0AD4"/>
    <w:rsid w:val="00BA65F8"/>
    <w:rsid w:val="00BC411A"/>
    <w:rsid w:val="00BC6EF0"/>
    <w:rsid w:val="00BF58F7"/>
    <w:rsid w:val="00C21CED"/>
    <w:rsid w:val="00C50E13"/>
    <w:rsid w:val="00C850A3"/>
    <w:rsid w:val="00CB0D0A"/>
    <w:rsid w:val="00CD7FA0"/>
    <w:rsid w:val="00CE6F76"/>
    <w:rsid w:val="00CF1D99"/>
    <w:rsid w:val="00D8380C"/>
    <w:rsid w:val="00D97B24"/>
    <w:rsid w:val="00DD6483"/>
    <w:rsid w:val="00E35642"/>
    <w:rsid w:val="00E4479C"/>
    <w:rsid w:val="00E64E1C"/>
    <w:rsid w:val="00E676C6"/>
    <w:rsid w:val="00EA7433"/>
    <w:rsid w:val="00EE0100"/>
    <w:rsid w:val="00EE6160"/>
    <w:rsid w:val="00F3355F"/>
    <w:rsid w:val="00F36815"/>
    <w:rsid w:val="00F66628"/>
    <w:rsid w:val="00F766B7"/>
    <w:rsid w:val="00F834F9"/>
    <w:rsid w:val="00FE456F"/>
    <w:rsid w:val="6CF7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25</cp:revision>
  <dcterms:created xsi:type="dcterms:W3CDTF">2019-08-07T02:56:00Z</dcterms:created>
  <dcterms:modified xsi:type="dcterms:W3CDTF">2024-08-05T02:48:00Z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CF37C18F4F44466D94B9FE602F65B73B_12</vt:lpwstr>
  </property>
</Properties>
</file>