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8D" w:rsidRPr="00D75EEE" w:rsidRDefault="00C1728D" w:rsidP="00E0665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75EEE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采购需求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产品要求中有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参考品牌</w:t>
      </w: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、型号的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仅作为投标方案参考，但投标产品品牌</w:t>
      </w: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、型号至少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应与参考品牌</w:t>
      </w: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、型号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相当。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除参考品牌</w:t>
      </w: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、型号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以外，欢迎其它能满足本项目技术需求且性能与参考品牌</w:t>
      </w: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、型号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相当的产品参加。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（一）采购内容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1、油品齐全：能不间断提供95#、98#汽油</w:t>
      </w:r>
      <w:r w:rsidR="00496B73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、柴油</w:t>
      </w: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，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各类油品质量符合国家最新标准，满足医院日常需求。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2、网点分布：承诺中标后一个月内在医院以及各分院周围5公里内有服务网点比例不少于80%</w:t>
      </w:r>
      <w:r w:rsidR="000A3B8E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，</w:t>
      </w: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10公里内要求100%。（地址：浙江大学医学院附属儿童医院滨江院区、浙江大学医学院附属儿童医院湖滨院区、浙江大学医学院附属儿童医院莫干山院区）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3、服务要求：提供24小时油卡充值及加油服务，由专人负责对接业务，月初各项数据送达到医院。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4、实行一车一卡管理，严格实行对车号、限油品加油，有完善的管理体系。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5、采购优惠：能提供优质的增值服务，并在投标文件中明确。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6、服务公司规范：严格遵守国家法律法规，认真执行国家和相关加油服务行业各项管理法规及规范性文件，合法经营，按章办事，诚实守信，自觉维护采购单位名称的利益。有严格的内控机制和监督管理制度。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（二）其它要求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lastRenderedPageBreak/>
        <w:t>1、在合同期内因上级政府政策变动须中止合同，中标人应无条件同意，费用即月即结。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2、投标报价：本项目投标报价应包括燃油、人工工资、车辆设备、耗材、运输、清洁、税金等一切费用。</w:t>
      </w:r>
    </w:p>
    <w:p w:rsidR="00355044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 w:hint="eastAsia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3、报价要求：本项目采用单价折扣率招标，加油量按实结算。例如某次加油</w:t>
      </w:r>
      <w:proofErr w:type="gramStart"/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量实际</w:t>
      </w:r>
      <w:proofErr w:type="gramEnd"/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金额为1000元，供应商投标折扣率为98.00%，则该次加油实际应付金额为1000元×0.98=980元。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4、油料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质量不合格造成采购人机动车辆损坏，中标供应商应负全部赔偿责任。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5、因油料无故短斤少两或标量与售油不符，发现一次按量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以一赔十，出现两次，在赔偿的同时取消定点加油服务资格。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6、服务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期结束后，中标供应商应向采购人提交定点加油情况报告，报告中对全年完成的加油量、加油油料总价值等附有详细说明。同时向采购人列报</w:t>
      </w:r>
      <w:proofErr w:type="gramStart"/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各车辆</w:t>
      </w:r>
      <w:proofErr w:type="gramEnd"/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加油情况明细表（包括车辆名称、车牌号、加油量及加油费用等）。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（三）服务期限</w:t>
      </w:r>
    </w:p>
    <w:p w:rsidR="00565004" w:rsidRPr="00D75EEE" w:rsidRDefault="00C1728D" w:rsidP="00E06653">
      <w:pPr>
        <w:spacing w:line="360" w:lineRule="auto"/>
        <w:ind w:firstLineChars="152" w:firstLine="427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 w:hint="eastAsia"/>
          <w:b/>
          <w:kern w:val="44"/>
          <w:sz w:val="28"/>
          <w:szCs w:val="28"/>
        </w:rPr>
        <w:t>本项目整体服务期限自合同签订之日起</w:t>
      </w:r>
      <w:r w:rsidR="004C0936" w:rsidRPr="00D75EEE">
        <w:rPr>
          <w:rFonts w:asciiTheme="minorEastAsia" w:eastAsiaTheme="minorEastAsia" w:hAnsiTheme="minorEastAsia" w:cs="黑体"/>
          <w:b/>
          <w:kern w:val="44"/>
          <w:sz w:val="28"/>
          <w:szCs w:val="28"/>
        </w:rPr>
        <w:t>3</w:t>
      </w:r>
      <w:r w:rsidR="004C0936" w:rsidRPr="00D75EEE">
        <w:rPr>
          <w:rFonts w:asciiTheme="minorEastAsia" w:eastAsiaTheme="minorEastAsia" w:hAnsiTheme="minorEastAsia" w:cs="黑体" w:hint="eastAsia"/>
          <w:b/>
          <w:kern w:val="44"/>
          <w:sz w:val="28"/>
          <w:szCs w:val="28"/>
        </w:rPr>
        <w:t>年</w:t>
      </w:r>
      <w:r w:rsidR="004C0936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，签订合同后中标人试用期为一个月，试用期经考核不合格，甲方有权终止合同，由此造成的一切后果均由中标人承担。中标</w:t>
      </w:r>
      <w:proofErr w:type="gramStart"/>
      <w:r w:rsidR="004C0936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方存在</w:t>
      </w:r>
      <w:proofErr w:type="gramEnd"/>
      <w:r w:rsidR="004C0936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重大过失或工作不到位，经业主二次提出整改，仍不改正的。业主有权终止合同，并</w:t>
      </w:r>
      <w:r w:rsidR="00B31EDF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赔偿相应损失</w:t>
      </w:r>
      <w:r w:rsidR="004C0936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（四）付款方式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bookmarkStart w:id="0" w:name="_GoBack"/>
      <w:bookmarkEnd w:id="0"/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lastRenderedPageBreak/>
        <w:t>本项目款</w:t>
      </w:r>
      <w:r w:rsidR="00612880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项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按</w:t>
      </w:r>
      <w:r w:rsidR="000A3B8E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次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支付，</w:t>
      </w:r>
      <w:r w:rsidR="00612880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每次甲方要求向加油卡中充值一定金额后乙方开具</w:t>
      </w:r>
      <w:r w:rsidR="00832F7E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相应</w:t>
      </w:r>
      <w:r w:rsidR="00612880"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正规发票，甲方收到发票并确认充值成功后60日内支付款项</w:t>
      </w: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。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（五）最高限价</w:t>
      </w:r>
    </w:p>
    <w:p w:rsidR="00565004" w:rsidRPr="00D75EEE" w:rsidRDefault="004C0936" w:rsidP="00E06653">
      <w:pPr>
        <w:spacing w:line="360" w:lineRule="auto"/>
        <w:ind w:firstLineChars="152" w:firstLine="426"/>
        <w:rPr>
          <w:rFonts w:asciiTheme="minorEastAsia" w:eastAsiaTheme="minorEastAsia" w:hAnsiTheme="minorEastAsia" w:cs="黑体"/>
          <w:kern w:val="44"/>
          <w:sz w:val="28"/>
          <w:szCs w:val="28"/>
        </w:rPr>
      </w:pPr>
      <w:r w:rsidRPr="00D75EEE">
        <w:rPr>
          <w:rFonts w:asciiTheme="minorEastAsia" w:eastAsiaTheme="minorEastAsia" w:hAnsiTheme="minorEastAsia" w:cs="黑体" w:hint="eastAsia"/>
          <w:kern w:val="44"/>
          <w:sz w:val="28"/>
          <w:szCs w:val="28"/>
        </w:rPr>
        <w:t>本次采购采用单价折扣率招标，任何超过</w:t>
      </w:r>
      <w:r w:rsidRPr="00D75EEE">
        <w:rPr>
          <w:rFonts w:asciiTheme="minorEastAsia" w:eastAsiaTheme="minorEastAsia" w:hAnsiTheme="minorEastAsia" w:cs="黑体"/>
          <w:kern w:val="44"/>
          <w:sz w:val="28"/>
          <w:szCs w:val="28"/>
        </w:rPr>
        <w:t>100%折扣率的将被认定为无效报价。</w:t>
      </w:r>
    </w:p>
    <w:p w:rsidR="00C1728D" w:rsidRPr="00D75EEE" w:rsidRDefault="00C1728D" w:rsidP="00E06653">
      <w:pPr>
        <w:spacing w:line="360" w:lineRule="auto"/>
        <w:rPr>
          <w:rFonts w:asciiTheme="minorEastAsia" w:eastAsiaTheme="minorEastAsia" w:hAnsiTheme="minorEastAsia" w:cs="黑体"/>
          <w:b/>
          <w:kern w:val="44"/>
          <w:sz w:val="28"/>
          <w:szCs w:val="28"/>
        </w:rPr>
      </w:pPr>
    </w:p>
    <w:p w:rsidR="00C1728D" w:rsidRPr="00D75EEE" w:rsidRDefault="00C1728D" w:rsidP="00E06653">
      <w:pPr>
        <w:spacing w:line="360" w:lineRule="auto"/>
        <w:rPr>
          <w:rFonts w:asciiTheme="minorEastAsia" w:eastAsiaTheme="minorEastAsia" w:hAnsiTheme="minorEastAsia" w:cs="黑体"/>
          <w:b/>
          <w:kern w:val="44"/>
          <w:sz w:val="28"/>
          <w:szCs w:val="28"/>
        </w:rPr>
      </w:pPr>
    </w:p>
    <w:p w:rsidR="00E77812" w:rsidRPr="00D75EEE" w:rsidRDefault="00E77812" w:rsidP="00E06653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E77812" w:rsidRPr="00D75EEE" w:rsidSect="00EA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CD" w:rsidRDefault="001308CD" w:rsidP="002D7D5E">
      <w:r>
        <w:separator/>
      </w:r>
    </w:p>
  </w:endnote>
  <w:endnote w:type="continuationSeparator" w:id="0">
    <w:p w:rsidR="001308CD" w:rsidRDefault="001308CD" w:rsidP="002D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CD" w:rsidRDefault="001308CD" w:rsidP="002D7D5E">
      <w:r>
        <w:separator/>
      </w:r>
    </w:p>
  </w:footnote>
  <w:footnote w:type="continuationSeparator" w:id="0">
    <w:p w:rsidR="001308CD" w:rsidRDefault="001308CD" w:rsidP="002D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28D"/>
    <w:rsid w:val="000901B3"/>
    <w:rsid w:val="000A3B8E"/>
    <w:rsid w:val="000F45E1"/>
    <w:rsid w:val="001308CD"/>
    <w:rsid w:val="00137A5C"/>
    <w:rsid w:val="001B18C0"/>
    <w:rsid w:val="00236902"/>
    <w:rsid w:val="00255168"/>
    <w:rsid w:val="002D7D5E"/>
    <w:rsid w:val="003271E1"/>
    <w:rsid w:val="00355044"/>
    <w:rsid w:val="00446710"/>
    <w:rsid w:val="0047458C"/>
    <w:rsid w:val="00496B73"/>
    <w:rsid w:val="004C0936"/>
    <w:rsid w:val="0052791E"/>
    <w:rsid w:val="00565004"/>
    <w:rsid w:val="00605B5E"/>
    <w:rsid w:val="00612880"/>
    <w:rsid w:val="006F54B0"/>
    <w:rsid w:val="007479A5"/>
    <w:rsid w:val="007B7C1E"/>
    <w:rsid w:val="00832F7E"/>
    <w:rsid w:val="00856671"/>
    <w:rsid w:val="008A6305"/>
    <w:rsid w:val="008D3DF0"/>
    <w:rsid w:val="008E2AD5"/>
    <w:rsid w:val="009E2B99"/>
    <w:rsid w:val="00AD1424"/>
    <w:rsid w:val="00B31EDF"/>
    <w:rsid w:val="00BD76A3"/>
    <w:rsid w:val="00C1728D"/>
    <w:rsid w:val="00CB0411"/>
    <w:rsid w:val="00D540DF"/>
    <w:rsid w:val="00D67C47"/>
    <w:rsid w:val="00D75EEE"/>
    <w:rsid w:val="00E06653"/>
    <w:rsid w:val="00E77812"/>
    <w:rsid w:val="00EA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8D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01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01B3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8D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D5E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hp</cp:lastModifiedBy>
  <cp:revision>23</cp:revision>
  <dcterms:created xsi:type="dcterms:W3CDTF">2022-02-07T06:44:00Z</dcterms:created>
  <dcterms:modified xsi:type="dcterms:W3CDTF">2024-08-29T06:43:00Z</dcterms:modified>
</cp:coreProperties>
</file>