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814"/>
        <w:gridCol w:w="8338"/>
      </w:tblGrid>
      <w:tr w14:paraId="6314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  <w:shd w:val="clear" w:color="auto" w:fill="auto"/>
            <w:vAlign w:val="top"/>
          </w:tcPr>
          <w:p w14:paraId="3D2B7AEA">
            <w:pPr>
              <w:ind w:right="-932" w:rightChars="-444" w:firstLine="1606" w:firstLineChars="500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4DD8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  <w:shd w:val="clear" w:color="auto" w:fill="auto"/>
            <w:vAlign w:val="top"/>
          </w:tcPr>
          <w:p w14:paraId="62B92A4C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31" w:type="pct"/>
            <w:shd w:val="clear" w:color="auto" w:fill="auto"/>
            <w:vAlign w:val="top"/>
          </w:tcPr>
          <w:p w14:paraId="2BB75883">
            <w:pPr>
              <w:ind w:right="-340" w:rightChars="-162"/>
              <w:jc w:val="center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可视穿刺肾镜系统</w:t>
            </w:r>
          </w:p>
        </w:tc>
      </w:tr>
      <w:tr w14:paraId="46B9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  <w:shd w:val="clear" w:color="auto" w:fill="auto"/>
            <w:vAlign w:val="top"/>
          </w:tcPr>
          <w:p w14:paraId="10FCA9E2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31" w:type="pct"/>
            <w:shd w:val="clear" w:color="auto" w:fill="auto"/>
            <w:vAlign w:val="top"/>
          </w:tcPr>
          <w:p w14:paraId="689AF17F">
            <w:pPr>
              <w:ind w:right="-340" w:rightChars="-162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小儿泌尿系统结石诊治中心</w:t>
            </w:r>
          </w:p>
        </w:tc>
      </w:tr>
      <w:tr w14:paraId="47E9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74028682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352AE74B">
            <w:pPr>
              <w:ind w:right="-340" w:rightChars="-162" w:firstLine="4337" w:firstLineChars="1800"/>
              <w:jc w:val="left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1CE8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06C401B9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3A7634B0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用途：肾盂结石、肾小盏结石、肾盏憩室结石、平行肾盏结石辅助治疗、二步法建立通道的优</w:t>
            </w:r>
          </w:p>
          <w:p w14:paraId="51485741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化（建立标准通道和微通道的前期准备）、复杂肾结石的多镜联合治疗、特殊病例非常规区域的</w:t>
            </w:r>
          </w:p>
          <w:p w14:paraId="5C8373A2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可视穿刺。</w:t>
            </w:r>
          </w:p>
        </w:tc>
      </w:tr>
      <w:tr w14:paraId="59A0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58DD805D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62496108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数量：1套</w:t>
            </w:r>
          </w:p>
        </w:tc>
      </w:tr>
      <w:tr w14:paraId="4902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7873F63C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18F88BD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主要功能及参数</w:t>
            </w:r>
          </w:p>
        </w:tc>
      </w:tr>
      <w:tr w14:paraId="5433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604690C0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C43A104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穿刺导引针规格：</w:t>
            </w: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≤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4.5Fr</w:t>
            </w:r>
          </w:p>
        </w:tc>
      </w:tr>
      <w:tr w14:paraId="29F8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64395B6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3FFBC092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穿刺导引针通道：≥3.9Fr</w:t>
            </w:r>
          </w:p>
        </w:tc>
      </w:tr>
      <w:tr w14:paraId="47A0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27D471A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AF8FC67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穿刺导引针弯曲角度≥15°</w:t>
            </w:r>
          </w:p>
        </w:tc>
      </w:tr>
      <w:tr w14:paraId="74E4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shd w:val="clear" w:color="auto" w:fill="auto"/>
            <w:vAlign w:val="top"/>
          </w:tcPr>
          <w:p w14:paraId="21932B6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2.4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358C8DB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穿刺导引针的弯曲次数≥20次</w:t>
            </w:r>
          </w:p>
        </w:tc>
      </w:tr>
      <w:tr w14:paraId="6F8B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0F18AC29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B67F13E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穿刺导引针的工作长度≥152mm</w:t>
            </w:r>
          </w:p>
        </w:tc>
      </w:tr>
      <w:tr w14:paraId="1DB0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4976083F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2.6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6D6EB20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光纤输尿管镜的工作直径</w:t>
            </w: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≤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0.8mm</w:t>
            </w: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（提供证明文件）</w:t>
            </w:r>
          </w:p>
        </w:tc>
      </w:tr>
      <w:tr w14:paraId="28FB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7CD713B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2.7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3AF1C5E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光纤输尿管镜的工作长度≥850mm</w:t>
            </w:r>
          </w:p>
        </w:tc>
      </w:tr>
      <w:tr w14:paraId="1BBA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0403BEB6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2.8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4C167F6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光纤输尿管镜的视场角≥80°</w:t>
            </w:r>
          </w:p>
        </w:tc>
      </w:tr>
      <w:tr w14:paraId="0CA7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3DEDF5C6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2.9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B347475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光纤输尿管镜的视向角0°</w:t>
            </w:r>
          </w:p>
        </w:tc>
      </w:tr>
      <w:tr w14:paraId="2ABE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2829DD05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2.10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E81DAF6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光纤输尿管镜的清晰度≥10000像素</w:t>
            </w:r>
          </w:p>
        </w:tc>
      </w:tr>
      <w:tr w14:paraId="270C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7CBC488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6A7EE135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光纤输尿管镜的灭菌方式：环氧乙烷灭菌/低温等离子灭菌（提供说明书证明）</w:t>
            </w:r>
          </w:p>
        </w:tc>
      </w:tr>
      <w:tr w14:paraId="3E88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216B7F92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FB762BF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主要配置及附件</w:t>
            </w:r>
          </w:p>
        </w:tc>
      </w:tr>
      <w:tr w14:paraId="03A6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F6669F2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8335C91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光纤输尿管肾镜   1套</w:t>
            </w:r>
          </w:p>
        </w:tc>
      </w:tr>
      <w:tr w14:paraId="6004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7168D3A9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383DD618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光纤镜补偿器     1个</w:t>
            </w:r>
          </w:p>
        </w:tc>
      </w:tr>
      <w:tr w14:paraId="6664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DA8DB14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3.3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733D421F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光纤镜保护套管   2根</w:t>
            </w:r>
          </w:p>
        </w:tc>
      </w:tr>
      <w:tr w14:paraId="2204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4B09EC92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3.4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929368A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光源接头         2个</w:t>
            </w:r>
          </w:p>
        </w:tc>
      </w:tr>
      <w:tr w14:paraId="6983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6F5DE210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443EDF5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光纤内窥镜盒     1个</w:t>
            </w:r>
          </w:p>
        </w:tc>
      </w:tr>
      <w:tr w14:paraId="481B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C583626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3.6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0AAC9BA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导引针           1个</w:t>
            </w:r>
          </w:p>
        </w:tc>
      </w:tr>
      <w:tr w14:paraId="4288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51C95E2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543" w:type="pct"/>
            <w:gridSpan w:val="2"/>
          </w:tcPr>
          <w:p w14:paraId="475601AB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售后服务要求</w:t>
            </w:r>
          </w:p>
        </w:tc>
      </w:tr>
      <w:tr w14:paraId="4052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7881C561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  <w:vAlign w:val="top"/>
          </w:tcPr>
          <w:p w14:paraId="753E25B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或相关资证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、生产许可证、营业执照、出厂质检合格证明</w:t>
            </w:r>
          </w:p>
        </w:tc>
      </w:tr>
      <w:tr w14:paraId="65EC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431E8248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vAlign w:val="top"/>
          </w:tcPr>
          <w:p w14:paraId="235B519F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14:paraId="225B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E155546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43" w:type="pct"/>
            <w:gridSpan w:val="2"/>
            <w:vAlign w:val="top"/>
          </w:tcPr>
          <w:p w14:paraId="7BD2DA39">
            <w:pPr>
              <w:numPr>
                <w:ilvl w:val="0"/>
                <w:numId w:val="0"/>
              </w:numPr>
              <w:tabs>
                <w:tab w:val="left" w:pos="10080"/>
              </w:tabs>
              <w:ind w:left="0" w:leftChars="0" w:right="15" w:rightChars="7" w:firstLine="0" w:firstLineChars="0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年，设备全生命周期内提供零配件及维修服务</w:t>
            </w:r>
          </w:p>
        </w:tc>
      </w:tr>
      <w:tr w14:paraId="770F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1341C80B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43" w:type="pct"/>
            <w:gridSpan w:val="2"/>
            <w:vAlign w:val="top"/>
          </w:tcPr>
          <w:p w14:paraId="283B046C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维修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小时内响应，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维修响应时间＜12小时，12工作小时未能修复，则无偿提供备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；保修期内开机率达到95%，否则每超过一天保修期相应延期长10天</w:t>
            </w:r>
          </w:p>
        </w:tc>
      </w:tr>
      <w:tr w14:paraId="0A8D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C173762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43" w:type="pct"/>
            <w:gridSpan w:val="2"/>
            <w:vAlign w:val="top"/>
          </w:tcPr>
          <w:p w14:paraId="2B5CDAA5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14:paraId="25E7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9E858FF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43" w:type="pct"/>
            <w:gridSpan w:val="2"/>
            <w:vAlign w:val="top"/>
          </w:tcPr>
          <w:p w14:paraId="7937BF63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系统软件终生免费升级</w:t>
            </w:r>
          </w:p>
        </w:tc>
      </w:tr>
      <w:tr w14:paraId="7CAA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3534DA9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43" w:type="pct"/>
            <w:gridSpan w:val="2"/>
            <w:vAlign w:val="top"/>
          </w:tcPr>
          <w:p w14:paraId="618DF881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合同签订后按医院要求供货，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接到医院送货通知后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2个月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内进行设备安装、调试和验收</w:t>
            </w:r>
          </w:p>
        </w:tc>
      </w:tr>
    </w:tbl>
    <w:p w14:paraId="2C689BD0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注：</w:t>
      </w: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vertAlign w:val="baseline"/>
          <w:lang w:val="en-US" w:eastAsia="zh-CN"/>
        </w:rPr>
        <w:t>▲为实质性条款，△为重要参数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TlhZjVlOTUwMjk0MjVkODJkNThhOWFkYzQzYjcifQ=="/>
  </w:docVars>
  <w:rsids>
    <w:rsidRoot w:val="7B28549C"/>
    <w:rsid w:val="010A6538"/>
    <w:rsid w:val="01150CE5"/>
    <w:rsid w:val="06CC6306"/>
    <w:rsid w:val="07A70F85"/>
    <w:rsid w:val="099077F7"/>
    <w:rsid w:val="0FB77316"/>
    <w:rsid w:val="10536E0F"/>
    <w:rsid w:val="13142634"/>
    <w:rsid w:val="17941799"/>
    <w:rsid w:val="1ADC4941"/>
    <w:rsid w:val="21122A96"/>
    <w:rsid w:val="22077134"/>
    <w:rsid w:val="241A1A66"/>
    <w:rsid w:val="24262DDA"/>
    <w:rsid w:val="24303C58"/>
    <w:rsid w:val="27D06A95"/>
    <w:rsid w:val="28331C1B"/>
    <w:rsid w:val="2C1C74C7"/>
    <w:rsid w:val="2EE34571"/>
    <w:rsid w:val="311367F6"/>
    <w:rsid w:val="322E3EED"/>
    <w:rsid w:val="37C62A56"/>
    <w:rsid w:val="38A03D8B"/>
    <w:rsid w:val="397F500E"/>
    <w:rsid w:val="3AA31C0A"/>
    <w:rsid w:val="3AB5320A"/>
    <w:rsid w:val="3B0E664A"/>
    <w:rsid w:val="446C4B9D"/>
    <w:rsid w:val="45AE47EA"/>
    <w:rsid w:val="4AFB588F"/>
    <w:rsid w:val="4D363751"/>
    <w:rsid w:val="4DF07F01"/>
    <w:rsid w:val="4EDF1ABC"/>
    <w:rsid w:val="52E11882"/>
    <w:rsid w:val="56923E00"/>
    <w:rsid w:val="5E007C1C"/>
    <w:rsid w:val="61386D43"/>
    <w:rsid w:val="61646F94"/>
    <w:rsid w:val="67212ADF"/>
    <w:rsid w:val="68991488"/>
    <w:rsid w:val="69DB0917"/>
    <w:rsid w:val="6DB8732C"/>
    <w:rsid w:val="72901CD2"/>
    <w:rsid w:val="7B28549C"/>
    <w:rsid w:val="7B41219D"/>
    <w:rsid w:val="7C6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09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800</Characters>
  <Lines>0</Lines>
  <Paragraphs>0</Paragraphs>
  <TotalTime>0</TotalTime>
  <ScaleCrop>false</ScaleCrop>
  <LinksUpToDate>false</LinksUpToDate>
  <CharactersWithSpaces>933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2024-10-28T08:14:53Z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78E9BDE35E6A4EFFB76958F985817648_13</vt:lpwstr>
  </property>
</Properties>
</file>