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page" w:tblpX="437" w:tblpY="139"/>
        <w:tblOverlap w:val="never"/>
        <w:tblW w:w="6634" w:type="pct"/>
        <w:tblLook w:val="04A0" w:firstRow="1" w:lastRow="0" w:firstColumn="1" w:lastColumn="0" w:noHBand="0" w:noVBand="1"/>
      </w:tblPr>
      <w:tblGrid>
        <w:gridCol w:w="856"/>
        <w:gridCol w:w="1939"/>
        <w:gridCol w:w="8520"/>
      </w:tblGrid>
      <w:tr w:rsidR="00E0040B" w:rsidTr="00F563B4">
        <w:trPr>
          <w:trHeight w:val="604"/>
        </w:trPr>
        <w:tc>
          <w:tcPr>
            <w:tcW w:w="1235" w:type="pct"/>
            <w:gridSpan w:val="2"/>
          </w:tcPr>
          <w:p w:rsidR="00E0040B" w:rsidRDefault="003E039B">
            <w:pPr>
              <w:framePr w:hSpace="0" w:wrap="auto" w:vAnchor="margin" w:hAnchor="text" w:xAlign="left" w:yAlign="inline"/>
              <w:suppressOverlap w:val="0"/>
              <w:rPr>
                <w:sz w:val="28"/>
                <w:szCs w:val="28"/>
              </w:rPr>
            </w:pPr>
            <w:bookmarkStart w:id="0" w:name="_GoBack"/>
            <w:bookmarkEnd w:id="0"/>
            <w:r>
              <w:rPr>
                <w:rFonts w:hint="eastAsia"/>
                <w:sz w:val="28"/>
                <w:szCs w:val="28"/>
              </w:rPr>
              <w:t>项目名称</w:t>
            </w:r>
          </w:p>
        </w:tc>
        <w:tc>
          <w:tcPr>
            <w:tcW w:w="3765" w:type="pct"/>
          </w:tcPr>
          <w:p w:rsidR="00E0040B" w:rsidRDefault="003E039B">
            <w:pPr>
              <w:framePr w:hSpace="0" w:wrap="auto" w:vAnchor="margin" w:hAnchor="text" w:xAlign="left" w:yAlign="inline"/>
              <w:suppressOverlap w:val="0"/>
              <w:jc w:val="center"/>
              <w:rPr>
                <w:sz w:val="28"/>
                <w:szCs w:val="28"/>
              </w:rPr>
            </w:pPr>
            <w:r>
              <w:rPr>
                <w:rFonts w:hint="eastAsia"/>
                <w:sz w:val="28"/>
                <w:szCs w:val="28"/>
              </w:rPr>
              <w:t>饲养笼具</w:t>
            </w:r>
          </w:p>
        </w:tc>
      </w:tr>
      <w:tr w:rsidR="00E0040B" w:rsidTr="00F563B4">
        <w:trPr>
          <w:trHeight w:val="604"/>
        </w:trPr>
        <w:tc>
          <w:tcPr>
            <w:tcW w:w="1235" w:type="pct"/>
            <w:gridSpan w:val="2"/>
          </w:tcPr>
          <w:p w:rsidR="00E0040B" w:rsidRDefault="003E039B">
            <w:pPr>
              <w:framePr w:hSpace="0" w:wrap="auto" w:vAnchor="margin" w:hAnchor="text" w:xAlign="left" w:yAlign="inline"/>
              <w:suppressOverlap w:val="0"/>
              <w:rPr>
                <w:sz w:val="28"/>
                <w:szCs w:val="28"/>
              </w:rPr>
            </w:pPr>
            <w:r>
              <w:rPr>
                <w:rFonts w:hint="eastAsia"/>
                <w:sz w:val="28"/>
                <w:szCs w:val="28"/>
              </w:rPr>
              <w:t>使用科室</w:t>
            </w:r>
          </w:p>
        </w:tc>
        <w:tc>
          <w:tcPr>
            <w:tcW w:w="3765" w:type="pct"/>
          </w:tcPr>
          <w:p w:rsidR="00E0040B" w:rsidRDefault="003E039B">
            <w:pPr>
              <w:framePr w:hSpace="0" w:wrap="auto" w:vAnchor="margin" w:hAnchor="text" w:xAlign="left" w:yAlign="inline"/>
              <w:suppressOverlap w:val="0"/>
              <w:jc w:val="center"/>
              <w:rPr>
                <w:sz w:val="28"/>
                <w:szCs w:val="28"/>
              </w:rPr>
            </w:pPr>
            <w:r>
              <w:rPr>
                <w:rFonts w:hint="eastAsia"/>
                <w:sz w:val="28"/>
                <w:szCs w:val="28"/>
              </w:rPr>
              <w:t>动物中心（莫干山院区）</w:t>
            </w:r>
          </w:p>
        </w:tc>
      </w:tr>
      <w:tr w:rsidR="00E0040B" w:rsidTr="00F563B4">
        <w:trPr>
          <w:trHeight w:val="287"/>
        </w:trPr>
        <w:tc>
          <w:tcPr>
            <w:tcW w:w="378" w:type="pct"/>
          </w:tcPr>
          <w:p w:rsidR="00E0040B" w:rsidRDefault="003E039B">
            <w:pPr>
              <w:framePr w:hSpace="0" w:wrap="auto" w:vAnchor="margin" w:hAnchor="text" w:xAlign="left" w:yAlign="inline"/>
              <w:suppressOverlap w:val="0"/>
            </w:pPr>
            <w:proofErr w:type="gramStart"/>
            <w:r>
              <w:rPr>
                <w:rFonts w:hint="eastAsia"/>
              </w:rPr>
              <w:t>一</w:t>
            </w:r>
            <w:proofErr w:type="gramEnd"/>
          </w:p>
        </w:tc>
        <w:tc>
          <w:tcPr>
            <w:tcW w:w="4622" w:type="pct"/>
            <w:gridSpan w:val="2"/>
          </w:tcPr>
          <w:p w:rsidR="00E0040B" w:rsidRDefault="003E039B">
            <w:pPr>
              <w:framePr w:hSpace="0" w:wrap="auto" w:vAnchor="margin" w:hAnchor="text" w:xAlign="left" w:yAlign="inline"/>
              <w:suppressOverlap w:val="0"/>
            </w:pPr>
            <w:r>
              <w:rPr>
                <w:rFonts w:hint="eastAsia"/>
              </w:rPr>
              <w:t>基本要求</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1.1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数量：IVC 小鼠笼具3740、IVC 大鼠笼具224、兔笼48、豚鼠</w:t>
            </w:r>
            <w:proofErr w:type="gramStart"/>
            <w:r>
              <w:rPr>
                <w:rFonts w:hint="eastAsia"/>
              </w:rPr>
              <w:t>笼</w:t>
            </w:r>
            <w:proofErr w:type="gramEnd"/>
            <w:r>
              <w:rPr>
                <w:rFonts w:hint="eastAsia"/>
              </w:rPr>
              <w:t>24、</w:t>
            </w:r>
            <w:proofErr w:type="gramStart"/>
            <w:r>
              <w:rPr>
                <w:rFonts w:hint="eastAsia"/>
              </w:rPr>
              <w:t>犬猪通用</w:t>
            </w:r>
            <w:proofErr w:type="gramEnd"/>
            <w:r>
              <w:rPr>
                <w:rFonts w:hint="eastAsia"/>
              </w:rPr>
              <w:t>笼具19；</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1.2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用途：适用于SPF级免疫缺陷型大、小鼠的饲养、繁殖，或者感染性大、小鼠及其他动物的生物</w:t>
            </w:r>
          </w:p>
          <w:p w:rsidR="00E0040B" w:rsidRDefault="003E039B">
            <w:pPr>
              <w:framePr w:hSpace="0" w:wrap="auto" w:vAnchor="margin" w:hAnchor="text" w:xAlign="left" w:yAlign="inline"/>
              <w:ind w:rightChars="-34" w:right="-82"/>
              <w:suppressOverlap w:val="0"/>
            </w:pPr>
            <w:r>
              <w:rPr>
                <w:rFonts w:hint="eastAsia"/>
              </w:rPr>
              <w:t>限制性饲养以有效保证操作人员、动物及环境的安全。</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二</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 xml:space="preserve">                              主要功能及参数</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 xml:space="preserve">IVC主机 </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主机具有高洁净度、高换气次数、低噪音、低能耗等优点；</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材质：整体采用304不锈钢材料，部分塑</w:t>
            </w:r>
            <w:proofErr w:type="gramStart"/>
            <w:r>
              <w:rPr>
                <w:rFonts w:hint="eastAsia"/>
              </w:rPr>
              <w:t>件采用</w:t>
            </w:r>
            <w:proofErr w:type="gramEnd"/>
            <w:r>
              <w:rPr>
                <w:rFonts w:hint="eastAsia"/>
              </w:rPr>
              <w:t>注塑工艺，经久耐用；</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2.1.3</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主机同笼架分离，一台主机可连接2个双面架或4个单面架，</w:t>
            </w:r>
            <w:proofErr w:type="gramStart"/>
            <w:r>
              <w:rPr>
                <w:rFonts w:hint="eastAsia"/>
              </w:rPr>
              <w:t>笼位</w:t>
            </w:r>
            <w:proofErr w:type="gramEnd"/>
            <w:r>
              <w:rPr>
                <w:rFonts w:hint="eastAsia"/>
              </w:rPr>
              <w:t>≥150，支持正压和负压运行模</w:t>
            </w:r>
          </w:p>
          <w:p w:rsidR="00E0040B" w:rsidRDefault="003E039B">
            <w:pPr>
              <w:framePr w:hSpace="0" w:wrap="auto" w:vAnchor="margin" w:hAnchor="text" w:xAlign="left" w:yAlign="inline"/>
              <w:ind w:rightChars="-34" w:right="-82"/>
              <w:suppressOverlap w:val="0"/>
            </w:pPr>
            <w:r>
              <w:rPr>
                <w:rFonts w:hint="eastAsia"/>
              </w:rPr>
              <w:t>式，不接受一体机；</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2.1.4</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主机运行噪音≤55dB，采用静压微风技术，可对每个</w:t>
            </w:r>
            <w:proofErr w:type="gramStart"/>
            <w:r>
              <w:rPr>
                <w:rFonts w:hint="eastAsia"/>
              </w:rPr>
              <w:t>笼盒独立</w:t>
            </w:r>
            <w:proofErr w:type="gramEnd"/>
            <w:r>
              <w:rPr>
                <w:rFonts w:hint="eastAsia"/>
              </w:rPr>
              <w:t>送气，防止交叉感染；</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2.1.5</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换气次数：换气次数可调，≥75次/小时；</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2.1.6</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气流速度(m/s)：≤0.1，梯度压差(Pa):0-50(可调)，空气洁净度(级):&lt;100级，</w:t>
            </w:r>
            <w:proofErr w:type="gramStart"/>
            <w:r>
              <w:rPr>
                <w:rFonts w:hint="eastAsia"/>
              </w:rPr>
              <w:t>落菌数</w:t>
            </w:r>
            <w:proofErr w:type="gramEnd"/>
            <w:r>
              <w:rPr>
                <w:rFonts w:hint="eastAsia"/>
              </w:rPr>
              <w:t>(</w:t>
            </w:r>
            <w:proofErr w:type="gramStart"/>
            <w:r>
              <w:rPr>
                <w:rFonts w:hint="eastAsia"/>
              </w:rPr>
              <w:t>个</w:t>
            </w:r>
            <w:proofErr w:type="gramEnd"/>
            <w:r>
              <w:rPr>
                <w:rFonts w:hint="eastAsia"/>
              </w:rPr>
              <w:t>/</w:t>
            </w:r>
            <w:proofErr w:type="gramStart"/>
            <w:r>
              <w:rPr>
                <w:rFonts w:hint="eastAsia"/>
              </w:rPr>
              <w:t>皿</w:t>
            </w:r>
            <w:proofErr w:type="gramEnd"/>
            <w:r>
              <w:rPr>
                <w:rFonts w:hint="eastAsia"/>
              </w:rPr>
              <w:t>时):≤0-1；</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2.1.7</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过滤器：主机配有初效过滤器及高效过滤器(HEPA=99.995%)；</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2.1.8</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主机内置智能控制模块，控制系统显示屏应采用≥7寸彩色液晶显示屏；</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2.1.9</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控制系统：实时监控温湿度、压差、换气次数等数据；</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2.1.10</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报警参数：具有停电、设备故障、笼盒内压力、温度和湿度超出上限值和下限值时报警功能，具</w:t>
            </w:r>
          </w:p>
          <w:p w:rsidR="00E0040B" w:rsidRDefault="003E039B">
            <w:pPr>
              <w:framePr w:hSpace="0" w:wrap="auto" w:vAnchor="margin" w:hAnchor="text" w:xAlign="left" w:yAlign="inline"/>
              <w:ind w:rightChars="-34" w:right="-82"/>
              <w:suppressOverlap w:val="0"/>
            </w:pPr>
            <w:r>
              <w:rPr>
                <w:rFonts w:hint="eastAsia"/>
              </w:rPr>
              <w:t>有更换高效过滤超时提醒功能；</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2.1.11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主机内置UPS电源，可保证供电中断后主机仍可连续工作，支持多套 IVC 系统联网监控；</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2.1.12</w:t>
            </w:r>
          </w:p>
        </w:tc>
        <w:tc>
          <w:tcPr>
            <w:tcW w:w="4622" w:type="pct"/>
            <w:gridSpan w:val="2"/>
          </w:tcPr>
          <w:p w:rsidR="00E0040B" w:rsidRDefault="003E039B">
            <w:pPr>
              <w:framePr w:hSpace="0" w:wrap="auto" w:vAnchor="margin" w:hAnchor="text" w:xAlign="left" w:yAlign="inline"/>
              <w:ind w:rightChars="-34" w:right="-82"/>
              <w:suppressOverlap w:val="0"/>
            </w:pPr>
            <w:r w:rsidRPr="00C2207B">
              <w:rPr>
                <w:rFonts w:hint="eastAsia"/>
              </w:rPr>
              <w:t>初、高效过滤器可经过脉动真空灭菌器高温灭菌（灭菌温度1</w:t>
            </w:r>
            <w:r w:rsidRPr="00C2207B">
              <w:t>21</w:t>
            </w:r>
            <w:r w:rsidRPr="00C2207B">
              <w:rPr>
                <w:rFonts w:hint="eastAsia"/>
              </w:rPr>
              <w:t>°）；</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大、小鼠IVC笼架</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2.2.1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笼架规格：小鼠笼架规格180</w:t>
            </w:r>
            <w:proofErr w:type="gramStart"/>
            <w:r>
              <w:rPr>
                <w:rFonts w:hint="eastAsia"/>
              </w:rPr>
              <w:t>笼位双面</w:t>
            </w:r>
            <w:proofErr w:type="gramEnd"/>
            <w:r>
              <w:rPr>
                <w:rFonts w:hint="eastAsia"/>
              </w:rPr>
              <w:t>架10 层×9 列，笼架尺寸≤2000×900×2200mm ，160</w:t>
            </w:r>
            <w:proofErr w:type="gramStart"/>
            <w:r>
              <w:rPr>
                <w:rFonts w:hint="eastAsia"/>
              </w:rPr>
              <w:t>笼位双面</w:t>
            </w:r>
            <w:proofErr w:type="gramEnd"/>
            <w:r>
              <w:rPr>
                <w:rFonts w:hint="eastAsia"/>
              </w:rPr>
              <w:t xml:space="preserve">架10 层×8 列，笼架尺寸≤1800×900×2200mm，90 </w:t>
            </w:r>
            <w:proofErr w:type="gramStart"/>
            <w:r>
              <w:rPr>
                <w:rFonts w:hint="eastAsia"/>
              </w:rPr>
              <w:t>笼位单面</w:t>
            </w:r>
            <w:proofErr w:type="gramEnd"/>
            <w:r>
              <w:rPr>
                <w:rFonts w:hint="eastAsia"/>
              </w:rPr>
              <w:t>架10 层×9 列，笼架尺寸≤2000×500×2200mm；大鼠笼架规格：8 层×4 列，笼架尺寸≤1500×500×2200mm；</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2.2.2</w:t>
            </w:r>
          </w:p>
        </w:tc>
        <w:tc>
          <w:tcPr>
            <w:tcW w:w="4622" w:type="pct"/>
            <w:gridSpan w:val="2"/>
          </w:tcPr>
          <w:p w:rsidR="00E0040B" w:rsidRDefault="003E039B">
            <w:pPr>
              <w:framePr w:hSpace="0" w:wrap="auto" w:vAnchor="margin" w:hAnchor="text" w:xAlign="left" w:yAlign="inline"/>
              <w:ind w:rightChars="-34" w:right="-82"/>
              <w:suppressOverlap w:val="0"/>
              <w:rPr>
                <w:b/>
              </w:rPr>
            </w:pPr>
            <w:r>
              <w:rPr>
                <w:rFonts w:hint="eastAsia"/>
              </w:rPr>
              <w:t>笼</w:t>
            </w:r>
            <w:proofErr w:type="gramStart"/>
            <w:r>
              <w:rPr>
                <w:rFonts w:hint="eastAsia"/>
              </w:rPr>
              <w:t>架采用</w:t>
            </w:r>
            <w:proofErr w:type="gramEnd"/>
            <w:r>
              <w:rPr>
                <w:rFonts w:hint="eastAsia"/>
              </w:rPr>
              <w:t>304不锈钢材料，不锈钢厚度≥1.5mm，表面拉丝处理，无锐边及毛刺；</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2.2.3</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笼架进风、排风管</w:t>
            </w:r>
            <w:proofErr w:type="gramStart"/>
            <w:r>
              <w:rPr>
                <w:rFonts w:hint="eastAsia"/>
              </w:rPr>
              <w:t>孔采用</w:t>
            </w:r>
            <w:proofErr w:type="gramEnd"/>
            <w:r>
              <w:rPr>
                <w:rFonts w:hint="eastAsia"/>
              </w:rPr>
              <w:t>冲压式结构，方便拆卸、清洗；</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2.2.4</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气管</w:t>
            </w:r>
            <w:proofErr w:type="gramStart"/>
            <w:r>
              <w:rPr>
                <w:rFonts w:hint="eastAsia"/>
              </w:rPr>
              <w:t>与笼盒连接</w:t>
            </w:r>
            <w:proofErr w:type="gramEnd"/>
            <w:r>
              <w:rPr>
                <w:rFonts w:hint="eastAsia"/>
              </w:rPr>
              <w:t>采用硅胶气嘴连接；</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2.2.5</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坐标标识：笼架的每个位置带坐标标识，方便</w:t>
            </w:r>
            <w:proofErr w:type="gramStart"/>
            <w:r>
              <w:rPr>
                <w:rFonts w:hint="eastAsia"/>
              </w:rPr>
              <w:t>记录笼盒位置</w:t>
            </w:r>
            <w:proofErr w:type="gramEnd"/>
            <w:r>
              <w:rPr>
                <w:rFonts w:hint="eastAsia"/>
              </w:rPr>
              <w:t xml:space="preserve">； </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2.2.6</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导轨要求</w:t>
            </w:r>
            <w:proofErr w:type="gramStart"/>
            <w:r>
              <w:rPr>
                <w:rFonts w:hint="eastAsia"/>
              </w:rPr>
              <w:t>设有笼盒到位</w:t>
            </w:r>
            <w:proofErr w:type="gramEnd"/>
            <w:r>
              <w:rPr>
                <w:rFonts w:hint="eastAsia"/>
              </w:rPr>
              <w:t>指示装置，可</w:t>
            </w:r>
            <w:proofErr w:type="gramStart"/>
            <w:r>
              <w:rPr>
                <w:rFonts w:hint="eastAsia"/>
              </w:rPr>
              <w:t>提醒笼盒放置</w:t>
            </w:r>
            <w:proofErr w:type="gramEnd"/>
            <w:r>
              <w:rPr>
                <w:rFonts w:hint="eastAsia"/>
              </w:rPr>
              <w:t>是否到位；</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2.2.7</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笼架底部的四个边角为弧度角，带墙体保护装置，移动笼架</w:t>
            </w:r>
            <w:proofErr w:type="gramStart"/>
            <w:r>
              <w:rPr>
                <w:rFonts w:hint="eastAsia"/>
              </w:rPr>
              <w:t>时笼架</w:t>
            </w:r>
            <w:proofErr w:type="gramEnd"/>
            <w:r>
              <w:rPr>
                <w:rFonts w:hint="eastAsia"/>
              </w:rPr>
              <w:t>不锈钢主体不会与墙体接触碰</w:t>
            </w:r>
          </w:p>
          <w:p w:rsidR="00E0040B" w:rsidRDefault="003E039B">
            <w:pPr>
              <w:framePr w:hSpace="0" w:wrap="auto" w:vAnchor="margin" w:hAnchor="text" w:xAlign="left" w:yAlign="inline"/>
              <w:ind w:rightChars="-34" w:right="-82"/>
              <w:suppressOverlap w:val="0"/>
            </w:pPr>
            <w:r>
              <w:rPr>
                <w:rFonts w:hint="eastAsia"/>
              </w:rPr>
              <w:t xml:space="preserve">撞，笼架底部至少 4 </w:t>
            </w:r>
            <w:proofErr w:type="gramStart"/>
            <w:r>
              <w:rPr>
                <w:rFonts w:hint="eastAsia"/>
              </w:rPr>
              <w:t>个万向耐腐蚀</w:t>
            </w:r>
            <w:proofErr w:type="gramEnd"/>
            <w:r>
              <w:rPr>
                <w:rFonts w:hint="eastAsia"/>
              </w:rPr>
              <w:t>耐抗压脚轮，其中至少2个</w:t>
            </w:r>
            <w:proofErr w:type="gramStart"/>
            <w:r>
              <w:rPr>
                <w:rFonts w:hint="eastAsia"/>
              </w:rPr>
              <w:t>脚轮带</w:t>
            </w:r>
            <w:proofErr w:type="gramEnd"/>
            <w:r>
              <w:rPr>
                <w:rFonts w:hint="eastAsia"/>
              </w:rPr>
              <w:t>刹车。</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大、小鼠IVC</w:t>
            </w:r>
            <w:proofErr w:type="gramStart"/>
            <w:r>
              <w:rPr>
                <w:rFonts w:hint="eastAsia"/>
              </w:rPr>
              <w:t>笼盒</w:t>
            </w:r>
            <w:proofErr w:type="gramEnd"/>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2.3.1</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笼盒数量</w:t>
            </w:r>
            <w:proofErr w:type="gramEnd"/>
            <w:r>
              <w:rPr>
                <w:rFonts w:hint="eastAsia"/>
              </w:rPr>
              <w:t>：小鼠≥3740笼（180</w:t>
            </w:r>
            <w:proofErr w:type="gramStart"/>
            <w:r>
              <w:rPr>
                <w:rFonts w:hint="eastAsia"/>
              </w:rPr>
              <w:t>笼位6套</w:t>
            </w:r>
            <w:proofErr w:type="gramEnd"/>
            <w:r>
              <w:rPr>
                <w:rFonts w:hint="eastAsia"/>
              </w:rPr>
              <w:t xml:space="preserve">，160 </w:t>
            </w:r>
            <w:proofErr w:type="gramStart"/>
            <w:r>
              <w:rPr>
                <w:rFonts w:hint="eastAsia"/>
              </w:rPr>
              <w:t>笼位2套</w:t>
            </w:r>
            <w:proofErr w:type="gramEnd"/>
            <w:r>
              <w:rPr>
                <w:rFonts w:hint="eastAsia"/>
              </w:rPr>
              <w:t>；90</w:t>
            </w:r>
            <w:proofErr w:type="gramStart"/>
            <w:r>
              <w:rPr>
                <w:rFonts w:hint="eastAsia"/>
              </w:rPr>
              <w:t>笼位26套</w:t>
            </w:r>
            <w:proofErr w:type="gramEnd"/>
            <w:r>
              <w:rPr>
                <w:rFonts w:hint="eastAsia"/>
              </w:rPr>
              <w:t>）；大鼠≥224笼（32 笼</w:t>
            </w:r>
          </w:p>
          <w:p w:rsidR="00E0040B" w:rsidRDefault="003E039B">
            <w:pPr>
              <w:framePr w:hSpace="0" w:wrap="auto" w:vAnchor="margin" w:hAnchor="text" w:xAlign="left" w:yAlign="inline"/>
              <w:ind w:rightChars="-34" w:right="-82"/>
              <w:suppressOverlap w:val="0"/>
            </w:pPr>
            <w:r>
              <w:rPr>
                <w:rFonts w:hint="eastAsia"/>
              </w:rPr>
              <w:t>位7套）；</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2.3.2</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小鼠笼盒规格</w:t>
            </w:r>
            <w:proofErr w:type="gramEnd"/>
            <w:r>
              <w:rPr>
                <w:rFonts w:hint="eastAsia"/>
              </w:rPr>
              <w:t>：≥390×190×160mm，底</w:t>
            </w:r>
            <w:proofErr w:type="gramStart"/>
            <w:r>
              <w:rPr>
                <w:rFonts w:hint="eastAsia"/>
              </w:rPr>
              <w:t>盒高度</w:t>
            </w:r>
            <w:proofErr w:type="gramEnd"/>
            <w:r>
              <w:rPr>
                <w:rFonts w:hint="eastAsia"/>
              </w:rPr>
              <w:t>≥13cm，笼底净面积≥490cm²；</w:t>
            </w:r>
          </w:p>
          <w:p w:rsidR="00E0040B" w:rsidRDefault="003E039B">
            <w:pPr>
              <w:framePr w:hSpace="0" w:wrap="auto" w:vAnchor="margin" w:hAnchor="text" w:xAlign="left" w:yAlign="inline"/>
              <w:ind w:rightChars="-34" w:right="-82"/>
              <w:suppressOverlap w:val="0"/>
            </w:pPr>
            <w:r>
              <w:rPr>
                <w:rFonts w:hint="eastAsia"/>
              </w:rPr>
              <w:t>大</w:t>
            </w:r>
            <w:proofErr w:type="gramStart"/>
            <w:r>
              <w:rPr>
                <w:rFonts w:hint="eastAsia"/>
              </w:rPr>
              <w:t>鼠笼盒规格</w:t>
            </w:r>
            <w:proofErr w:type="gramEnd"/>
            <w:r>
              <w:rPr>
                <w:rFonts w:hint="eastAsia"/>
              </w:rPr>
              <w:t>：≥390×345×215mm，底</w:t>
            </w:r>
            <w:proofErr w:type="gramStart"/>
            <w:r>
              <w:rPr>
                <w:rFonts w:hint="eastAsia"/>
              </w:rPr>
              <w:t>盒高度</w:t>
            </w:r>
            <w:proofErr w:type="gramEnd"/>
            <w:r>
              <w:rPr>
                <w:rFonts w:hint="eastAsia"/>
              </w:rPr>
              <w:t>≥18cm，笼底净面积≥900cm²；</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2.3.3</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笼盒材质</w:t>
            </w:r>
            <w:proofErr w:type="gramEnd"/>
            <w:r>
              <w:rPr>
                <w:rFonts w:hint="eastAsia"/>
              </w:rPr>
              <w:t>：</w:t>
            </w:r>
            <w:proofErr w:type="gramStart"/>
            <w:r>
              <w:rPr>
                <w:rFonts w:hint="eastAsia"/>
              </w:rPr>
              <w:t>笼盒要求</w:t>
            </w:r>
            <w:proofErr w:type="gramEnd"/>
            <w:r>
              <w:rPr>
                <w:rFonts w:hint="eastAsia"/>
              </w:rPr>
              <w:t>采用</w:t>
            </w:r>
            <w:r w:rsidRPr="00C2207B">
              <w:rPr>
                <w:rFonts w:hint="eastAsia"/>
              </w:rPr>
              <w:t>全</w:t>
            </w:r>
            <w:r>
              <w:rPr>
                <w:rFonts w:hint="eastAsia"/>
              </w:rPr>
              <w:t>新PPSU（聚苯</w:t>
            </w:r>
            <w:proofErr w:type="gramStart"/>
            <w:r>
              <w:rPr>
                <w:rFonts w:hint="eastAsia"/>
              </w:rPr>
              <w:t>砜</w:t>
            </w:r>
            <w:proofErr w:type="gramEnd"/>
            <w:r>
              <w:rPr>
                <w:rFonts w:hint="eastAsia"/>
              </w:rPr>
              <w:t>）高分子材料一次成型，</w:t>
            </w:r>
            <w:r w:rsidRPr="00C2207B">
              <w:rPr>
                <w:rFonts w:hint="eastAsia"/>
              </w:rPr>
              <w:t>无旧材料掺杂，</w:t>
            </w:r>
            <w:r>
              <w:rPr>
                <w:rFonts w:hint="eastAsia"/>
              </w:rPr>
              <w:t>保证盒子颜色透明便于实验观察；可耐受 134℃及以上温度条件下时反复多次高压灭菌，质保期内应无变形。能耐受至少1m 高度自由落下撞击水泥或瓷砖地面所产生的应力</w:t>
            </w:r>
            <w:proofErr w:type="gramStart"/>
            <w:r>
              <w:rPr>
                <w:rFonts w:hint="eastAsia"/>
              </w:rPr>
              <w:t>不</w:t>
            </w:r>
            <w:proofErr w:type="gramEnd"/>
            <w:r>
              <w:rPr>
                <w:rFonts w:hint="eastAsia"/>
              </w:rPr>
              <w:t>破损；</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2.3.4</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笼盒采用</w:t>
            </w:r>
            <w:proofErr w:type="gramEnd"/>
            <w:r>
              <w:rPr>
                <w:rFonts w:hint="eastAsia"/>
              </w:rPr>
              <w:t>上部送风，上部排风方式；</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lastRenderedPageBreak/>
              <w:t>2.3.5</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笼盒采用</w:t>
            </w:r>
            <w:proofErr w:type="gramEnd"/>
            <w:r>
              <w:rPr>
                <w:rFonts w:hint="eastAsia"/>
              </w:rPr>
              <w:t>侧密封方式，密封圈安装在笼底盒上，</w:t>
            </w:r>
            <w:proofErr w:type="gramStart"/>
            <w:r>
              <w:rPr>
                <w:rFonts w:hint="eastAsia"/>
              </w:rPr>
              <w:t>笼盒密封</w:t>
            </w:r>
            <w:proofErr w:type="gramEnd"/>
            <w:r>
              <w:rPr>
                <w:rFonts w:hint="eastAsia"/>
              </w:rPr>
              <w:t>性好，采用硅橡胶耐酸、耐碱，在134℃及以上温度进行高压灭菌时无变形；</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2.3.6</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笼盒顶部</w:t>
            </w:r>
            <w:proofErr w:type="gramEnd"/>
            <w:r>
              <w:rPr>
                <w:rFonts w:hint="eastAsia"/>
              </w:rPr>
              <w:t>应设有生命窗与外界相通，生命窗面积≥0.014m；</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2.3.7</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生命窗周边带有密封硅胶垫，覆盖≤0.3µm 的高效过滤膜，高效过滤膜可直接水洗、高温高压灭菌且不影响性能；</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2.3.8</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提供断电 72 小时的试验过程报告，保证小鼠无窒息；</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2.3.9</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笼盒脱离</w:t>
            </w:r>
            <w:proofErr w:type="gramEnd"/>
            <w:r>
              <w:rPr>
                <w:rFonts w:hint="eastAsia"/>
              </w:rPr>
              <w:t>笼架后，</w:t>
            </w:r>
            <w:proofErr w:type="gramStart"/>
            <w:r>
              <w:rPr>
                <w:rFonts w:hint="eastAsia"/>
              </w:rPr>
              <w:t>笼盒进风</w:t>
            </w:r>
            <w:proofErr w:type="gramEnd"/>
            <w:r>
              <w:rPr>
                <w:rFonts w:hint="eastAsia"/>
              </w:rPr>
              <w:t>、排风阀门应自动关闭；</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2.3.10</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隔栏：</w:t>
            </w:r>
            <w:proofErr w:type="gramStart"/>
            <w:r>
              <w:rPr>
                <w:rFonts w:hint="eastAsia"/>
              </w:rPr>
              <w:t>笼</w:t>
            </w:r>
            <w:proofErr w:type="gramEnd"/>
            <w:r>
              <w:rPr>
                <w:rFonts w:hint="eastAsia"/>
              </w:rPr>
              <w:t>盒内承载饲料的隔栏材料为不锈钢，全隔栏；</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2.3.11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外置式饮水瓶方式，水瓶置放槽有自动定心导入式功能，饮</w:t>
            </w:r>
            <w:proofErr w:type="gramStart"/>
            <w:r>
              <w:rPr>
                <w:rFonts w:hint="eastAsia"/>
              </w:rPr>
              <w:t>材质均</w:t>
            </w:r>
            <w:proofErr w:type="gramEnd"/>
            <w:r>
              <w:rPr>
                <w:rFonts w:hint="eastAsia"/>
              </w:rPr>
              <w:t>采用全新 PPSU 原材料，瓶口</w:t>
            </w:r>
          </w:p>
          <w:p w:rsidR="00E0040B" w:rsidRDefault="003E039B">
            <w:pPr>
              <w:framePr w:hSpace="0" w:wrap="auto" w:vAnchor="margin" w:hAnchor="text" w:xAlign="left" w:yAlign="inline"/>
              <w:ind w:rightChars="-34" w:right="-82"/>
              <w:suppressOverlap w:val="0"/>
            </w:pPr>
            <w:r>
              <w:rPr>
                <w:rFonts w:hint="eastAsia"/>
              </w:rPr>
              <w:t>为医用硅胶软性密封，瓶嘴为316不锈钢材质，电抛光处理，动物饮水咬合处无金属毛刺现象；</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2.3.12</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笼盒卡</w:t>
            </w:r>
            <w:proofErr w:type="gramEnd"/>
            <w:r>
              <w:rPr>
                <w:rFonts w:hint="eastAsia"/>
              </w:rPr>
              <w:t xml:space="preserve">扣为尼龙卡扣，无金属连接，操作方便，故障率低。 </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2.4</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兔笼</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2.4.1</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w:t>
            </w:r>
            <w:proofErr w:type="gramEnd"/>
            <w:r>
              <w:rPr>
                <w:rFonts w:hint="eastAsia"/>
              </w:rPr>
              <w:t>位数量：48笼，包含9笼位（3层3列）、6笼位（3层2列）两种规格；</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2.4.2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笼</w:t>
            </w:r>
            <w:proofErr w:type="gramStart"/>
            <w:r>
              <w:rPr>
                <w:rFonts w:hint="eastAsia"/>
              </w:rPr>
              <w:t>架整体</w:t>
            </w:r>
            <w:proofErr w:type="gramEnd"/>
            <w:r>
              <w:rPr>
                <w:rFonts w:hint="eastAsia"/>
              </w:rPr>
              <w:t>高度≤2200mm，全不锈钢材质加工；</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2.4.3</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单个</w:t>
            </w:r>
            <w:proofErr w:type="gramStart"/>
            <w:r>
              <w:rPr>
                <w:rFonts w:hint="eastAsia"/>
              </w:rPr>
              <w:t>笼盒净底</w:t>
            </w:r>
            <w:proofErr w:type="gramEnd"/>
            <w:r>
              <w:rPr>
                <w:rFonts w:hint="eastAsia"/>
              </w:rPr>
              <w:t>面积 ≥0.42m2；</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2.4.4</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饮水瓶：500mLpp水瓶；</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2.4.5</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 xml:space="preserve">脚轮：≥4寸不锈钢304和聚氨酯万向脚轮，至少2 </w:t>
            </w:r>
            <w:proofErr w:type="gramStart"/>
            <w:r>
              <w:rPr>
                <w:rFonts w:hint="eastAsia"/>
              </w:rPr>
              <w:t>个</w:t>
            </w:r>
            <w:proofErr w:type="gramEnd"/>
            <w:r>
              <w:rPr>
                <w:rFonts w:hint="eastAsia"/>
              </w:rPr>
              <w:t>具有锁定功能，方便移动，永不生锈，终</w:t>
            </w:r>
          </w:p>
          <w:p w:rsidR="00E0040B" w:rsidRDefault="003E039B">
            <w:pPr>
              <w:framePr w:hSpace="0" w:wrap="auto" w:vAnchor="margin" w:hAnchor="text" w:xAlign="left" w:yAlign="inline"/>
              <w:ind w:rightChars="-34" w:right="-82"/>
              <w:suppressOverlap w:val="0"/>
            </w:pPr>
            <w:r>
              <w:rPr>
                <w:rFonts w:hint="eastAsia"/>
              </w:rPr>
              <w:t>生免费维修或更换。</w:t>
            </w:r>
          </w:p>
        </w:tc>
      </w:tr>
      <w:tr w:rsidR="00E0040B" w:rsidTr="00F563B4">
        <w:trPr>
          <w:trHeight w:val="287"/>
        </w:trPr>
        <w:tc>
          <w:tcPr>
            <w:tcW w:w="378" w:type="pct"/>
          </w:tcPr>
          <w:p w:rsidR="00E0040B" w:rsidRDefault="003E039B">
            <w:pPr>
              <w:framePr w:hSpace="0" w:wrap="auto" w:vAnchor="margin" w:hAnchor="text" w:xAlign="left" w:yAlign="inline"/>
              <w:suppressOverlap w:val="0"/>
            </w:pPr>
            <w:r>
              <w:rPr>
                <w:rFonts w:hint="eastAsia"/>
              </w:rPr>
              <w:t>2.4.6</w:t>
            </w:r>
          </w:p>
        </w:tc>
        <w:tc>
          <w:tcPr>
            <w:tcW w:w="4622" w:type="pct"/>
            <w:gridSpan w:val="2"/>
          </w:tcPr>
          <w:p w:rsidR="00E0040B" w:rsidRDefault="003E039B">
            <w:pPr>
              <w:framePr w:hSpace="0" w:wrap="auto" w:vAnchor="margin" w:hAnchor="text" w:xAlign="left" w:yAlign="inline"/>
              <w:ind w:rightChars="-34" w:right="-82"/>
              <w:suppressOverlap w:val="0"/>
            </w:pPr>
            <w:r w:rsidRPr="00C2207B">
              <w:rPr>
                <w:rFonts w:hint="eastAsia"/>
              </w:rPr>
              <w:t>可配置自动饮水装置；</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2.5</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豚鼠笼</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2.5.1</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w:t>
            </w:r>
            <w:proofErr w:type="gramEnd"/>
            <w:r>
              <w:rPr>
                <w:rFonts w:hint="eastAsia"/>
              </w:rPr>
              <w:t>位数量：24笼，包含9笼位（3层3列）、6笼位（3层2列）两种规格；</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2.5.2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全不锈钢材质加工；</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2.5.3</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顶部带排水箱</w:t>
            </w:r>
            <w:proofErr w:type="gramEnd"/>
            <w:r>
              <w:rPr>
                <w:rFonts w:hint="eastAsia"/>
              </w:rPr>
              <w:t>，每层</w:t>
            </w:r>
            <w:proofErr w:type="gramStart"/>
            <w:r>
              <w:rPr>
                <w:rFonts w:hint="eastAsia"/>
              </w:rPr>
              <w:t>倾料式排水</w:t>
            </w:r>
            <w:proofErr w:type="gramEnd"/>
            <w:r>
              <w:rPr>
                <w:rFonts w:hint="eastAsia"/>
              </w:rPr>
              <w:t>冲洗导向板，水流大，冲洗干净；</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2.5.4</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可</w:t>
            </w:r>
            <w:r w:rsidRPr="00C2207B">
              <w:rPr>
                <w:rFonts w:hint="eastAsia"/>
              </w:rPr>
              <w:t>配置</w:t>
            </w:r>
            <w:r>
              <w:rPr>
                <w:rFonts w:hint="eastAsia"/>
              </w:rPr>
              <w:t>自动饮水装置；</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2.5.5</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材料：不锈钢304托盘板厚≥1.0mm，槽钢≥1.5mm；</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2.5.6</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 xml:space="preserve">豚鼠笼：材质 304 不锈钢钢丝，采用Φ2.0mm 不锈钢 钢丝，框架直径Φ4.0mm； </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2.5.7</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豚鼠食斗板厚≥1.0mm，配 500mlPP 饮水瓶。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犬猪猴</w:t>
            </w:r>
            <w:proofErr w:type="gramEnd"/>
            <w:r>
              <w:rPr>
                <w:rFonts w:hint="eastAsia"/>
              </w:rPr>
              <w:t>通用笼具</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2.6.1</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笼</w:t>
            </w:r>
            <w:proofErr w:type="gramEnd"/>
            <w:r>
              <w:rPr>
                <w:rFonts w:hint="eastAsia"/>
              </w:rPr>
              <w:t>位数量19；</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 xml:space="preserve">规格：笼内高度≥1.0 米，笼内底面积≥1.2 平米，尺寸参考 </w:t>
            </w:r>
            <w:proofErr w:type="gramStart"/>
            <w:r>
              <w:rPr>
                <w:rFonts w:hint="eastAsia"/>
              </w:rPr>
              <w:t>1200×1200×</w:t>
            </w:r>
            <w:proofErr w:type="gramEnd"/>
            <w:r>
              <w:rPr>
                <w:rFonts w:hint="eastAsia"/>
              </w:rPr>
              <w:t>1200mm，可根据饲养</w:t>
            </w:r>
          </w:p>
          <w:p w:rsidR="00E0040B" w:rsidRDefault="003E039B">
            <w:pPr>
              <w:framePr w:hSpace="0" w:wrap="auto" w:vAnchor="margin" w:hAnchor="text" w:xAlign="left" w:yAlign="inline"/>
              <w:ind w:rightChars="-34" w:right="-82"/>
              <w:suppressOverlap w:val="0"/>
            </w:pPr>
            <w:r>
              <w:rPr>
                <w:rFonts w:hint="eastAsia"/>
              </w:rPr>
              <w:t>室实际情况适当调整长宽高尺寸，整体采用SUS304不锈钢；</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2.6.3</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根据房间实际排水情况，提供干养或冲洗笼具；</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2.6.4</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两侧均开设有矩形槽，矩形槽的内部安装有可拆卸侧板，可拆卸侧板的一侧表面固定安装有把手</w:t>
            </w:r>
          </w:p>
          <w:p w:rsidR="00E0040B" w:rsidRDefault="003E039B">
            <w:pPr>
              <w:framePr w:hSpace="0" w:wrap="auto" w:vAnchor="margin" w:hAnchor="text" w:xAlign="left" w:yAlign="inline"/>
              <w:ind w:rightChars="-34" w:right="-82"/>
              <w:suppressOverlap w:val="0"/>
            </w:pPr>
            <w:r>
              <w:rPr>
                <w:rFonts w:hint="eastAsia"/>
              </w:rPr>
              <w:t>，通过第一卡扣与第二卡扣相互的卡接配合，便于工作人员将两个饲养</w:t>
            </w:r>
            <w:proofErr w:type="gramStart"/>
            <w:r>
              <w:rPr>
                <w:rFonts w:hint="eastAsia"/>
              </w:rPr>
              <w:t>笼</w:t>
            </w:r>
            <w:proofErr w:type="gramEnd"/>
            <w:r>
              <w:rPr>
                <w:rFonts w:hint="eastAsia"/>
              </w:rPr>
              <w:t>进行组合，从而适应不</w:t>
            </w:r>
          </w:p>
          <w:p w:rsidR="00E0040B" w:rsidRDefault="003E039B">
            <w:pPr>
              <w:framePr w:hSpace="0" w:wrap="auto" w:vAnchor="margin" w:hAnchor="text" w:xAlign="left" w:yAlign="inline"/>
              <w:ind w:rightChars="-34" w:right="-82"/>
              <w:suppressOverlap w:val="0"/>
            </w:pPr>
            <w:r>
              <w:rPr>
                <w:rFonts w:hint="eastAsia"/>
              </w:rPr>
              <w:t>同体型的动物；</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2.6.5</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食盆饲料斗设计，避免下颌皮肤与饲料盆的频繁摩擦接触导致破碎以及囊肿等情况的发生；</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2.6.6</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框架：规格≥25×25 SUS304 不锈钢方管，厚度≥1.5mm；</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2.6.7</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两侧及后面：上半部分栅栏，Φ≥15.9mm 304 不锈钢圆管，间距≤55mm；</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2.6.8</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 xml:space="preserve">底部：≥40×40 角钢框架，厚度≥2.5mm，上面铺聚丙烯 PP </w:t>
            </w:r>
            <w:proofErr w:type="gramStart"/>
            <w:r>
              <w:rPr>
                <w:rFonts w:hint="eastAsia"/>
              </w:rPr>
              <w:t>塑料漏粪板</w:t>
            </w:r>
            <w:proofErr w:type="gramEnd"/>
            <w:r>
              <w:rPr>
                <w:rFonts w:hint="eastAsia"/>
              </w:rPr>
              <w:t>，承重≥150KG；</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2.6.9</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设置底部挡板以及底板，避免粪便卡在底板挡板表面；</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2.6.10</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前门：前面一侧开门，带不锈钢 304 食槽、</w:t>
            </w:r>
            <w:proofErr w:type="gramStart"/>
            <w:r>
              <w:rPr>
                <w:rFonts w:hint="eastAsia"/>
              </w:rPr>
              <w:t>水盒和</w:t>
            </w:r>
            <w:proofErr w:type="gramEnd"/>
            <w:r>
              <w:rPr>
                <w:rFonts w:hint="eastAsia"/>
              </w:rPr>
              <w:t>记录卡片座；</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2.6.11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 xml:space="preserve">采用 ≥4 寸不锈钢脚轮，至少2 </w:t>
            </w:r>
            <w:proofErr w:type="gramStart"/>
            <w:r>
              <w:rPr>
                <w:rFonts w:hint="eastAsia"/>
              </w:rPr>
              <w:t>个</w:t>
            </w:r>
            <w:proofErr w:type="gramEnd"/>
            <w:r>
              <w:rPr>
                <w:rFonts w:hint="eastAsia"/>
              </w:rPr>
              <w:t>具有锁定功能。</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2.6.12</w:t>
            </w:r>
          </w:p>
        </w:tc>
        <w:tc>
          <w:tcPr>
            <w:tcW w:w="4622" w:type="pct"/>
            <w:gridSpan w:val="2"/>
          </w:tcPr>
          <w:p w:rsidR="00E0040B" w:rsidRPr="00C2207B" w:rsidRDefault="003E039B">
            <w:pPr>
              <w:framePr w:hSpace="0" w:wrap="auto" w:vAnchor="margin" w:hAnchor="text" w:xAlign="left" w:yAlign="inline"/>
              <w:ind w:rightChars="-34" w:right="-82"/>
              <w:suppressOverlap w:val="0"/>
            </w:pPr>
            <w:r w:rsidRPr="00C2207B">
              <w:rPr>
                <w:rFonts w:hint="eastAsia"/>
              </w:rPr>
              <w:t>可配置自动饮水装置；</w:t>
            </w:r>
          </w:p>
          <w:p w:rsidR="00E0040B" w:rsidRPr="00C2207B" w:rsidRDefault="003E039B">
            <w:pPr>
              <w:framePr w:hSpace="0" w:wrap="auto" w:vAnchor="margin" w:hAnchor="text" w:xAlign="left" w:yAlign="inline"/>
              <w:ind w:rightChars="-34" w:right="-82"/>
              <w:suppressOverlap w:val="0"/>
            </w:pPr>
            <w:r w:rsidRPr="00C2207B">
              <w:rPr>
                <w:rFonts w:hint="eastAsia"/>
              </w:rPr>
              <w:t>1.</w:t>
            </w:r>
            <w:r w:rsidRPr="00C2207B">
              <w:rPr>
                <w:rFonts w:hint="eastAsia"/>
              </w:rPr>
              <w:tab/>
              <w:t>笼具中标方必须配合自动饮水公司设计用于固定饮水支管的支撑件，并在自己生产单位现场将支撑件预先焊接或固定在笼架上。</w:t>
            </w:r>
          </w:p>
          <w:p w:rsidR="00E0040B" w:rsidRPr="00C2207B" w:rsidRDefault="003E039B">
            <w:pPr>
              <w:framePr w:hSpace="0" w:wrap="auto" w:vAnchor="margin" w:hAnchor="text" w:xAlign="left" w:yAlign="inline"/>
              <w:ind w:rightChars="-34" w:right="-82"/>
              <w:suppressOverlap w:val="0"/>
            </w:pPr>
            <w:r w:rsidRPr="00C2207B">
              <w:rPr>
                <w:rFonts w:hint="eastAsia"/>
              </w:rPr>
              <w:lastRenderedPageBreak/>
              <w:t>2.</w:t>
            </w:r>
            <w:r w:rsidRPr="00C2207B">
              <w:rPr>
                <w:rFonts w:hint="eastAsia"/>
              </w:rPr>
              <w:tab/>
              <w:t>笼具中标方必须根据图纸，对</w:t>
            </w:r>
            <w:proofErr w:type="gramStart"/>
            <w:r w:rsidRPr="00C2207B">
              <w:rPr>
                <w:rFonts w:hint="eastAsia"/>
              </w:rPr>
              <w:t>每个笼盒后侧</w:t>
            </w:r>
            <w:proofErr w:type="gramEnd"/>
            <w:r w:rsidRPr="00C2207B">
              <w:rPr>
                <w:rFonts w:hint="eastAsia"/>
              </w:rPr>
              <w:t>实施打孔并用不锈钢包圈安装在孔洞上。</w:t>
            </w:r>
          </w:p>
          <w:p w:rsidR="00E0040B" w:rsidRDefault="003E039B">
            <w:pPr>
              <w:framePr w:hSpace="0" w:wrap="auto" w:vAnchor="margin" w:hAnchor="text" w:xAlign="left" w:yAlign="inline"/>
              <w:ind w:rightChars="-34" w:right="-82"/>
              <w:suppressOverlap w:val="0"/>
            </w:pPr>
            <w:r w:rsidRPr="00C2207B">
              <w:rPr>
                <w:rFonts w:hint="eastAsia"/>
              </w:rPr>
              <w:t>3.</w:t>
            </w:r>
            <w:r w:rsidRPr="00C2207B">
              <w:rPr>
                <w:rFonts w:hint="eastAsia"/>
              </w:rPr>
              <w:tab/>
              <w:t>笼具中标方必须</w:t>
            </w:r>
            <w:proofErr w:type="gramStart"/>
            <w:r w:rsidRPr="00C2207B">
              <w:rPr>
                <w:rFonts w:hint="eastAsia"/>
              </w:rPr>
              <w:t>提供笼盒后侧</w:t>
            </w:r>
            <w:proofErr w:type="gramEnd"/>
            <w:r w:rsidRPr="00C2207B">
              <w:rPr>
                <w:rFonts w:hint="eastAsia"/>
              </w:rPr>
              <w:t>孔位的硅橡胶密封圈。</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lastRenderedPageBreak/>
              <w:t>2.7</w:t>
            </w:r>
          </w:p>
        </w:tc>
        <w:tc>
          <w:tcPr>
            <w:tcW w:w="4622" w:type="pct"/>
            <w:gridSpan w:val="2"/>
          </w:tcPr>
          <w:p w:rsidR="00E0040B" w:rsidRDefault="003E039B">
            <w:pPr>
              <w:framePr w:hSpace="0" w:wrap="auto" w:vAnchor="margin" w:hAnchor="text" w:xAlign="left" w:yAlign="inline"/>
              <w:ind w:rightChars="-34" w:right="-82"/>
              <w:suppressOverlap w:val="0"/>
              <w:rPr>
                <w:color w:val="FF0000"/>
              </w:rPr>
            </w:pPr>
            <w:r w:rsidRPr="00C2207B">
              <w:rPr>
                <w:rFonts w:hint="eastAsia"/>
              </w:rPr>
              <w:t>中标方负责设备运输、安装及场地改造，并配合饮水系统的安装。</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三</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主要配置</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3.1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小鼠IVC</w:t>
            </w:r>
            <w:proofErr w:type="gramStart"/>
            <w:r>
              <w:rPr>
                <w:rFonts w:hint="eastAsia"/>
              </w:rPr>
              <w:t>笼</w:t>
            </w:r>
            <w:proofErr w:type="gramEnd"/>
            <w:r>
              <w:rPr>
                <w:rFonts w:hint="eastAsia"/>
              </w:rPr>
              <w:t>位数3740，单面架90</w:t>
            </w:r>
            <w:proofErr w:type="gramStart"/>
            <w:r>
              <w:rPr>
                <w:rFonts w:hint="eastAsia"/>
              </w:rPr>
              <w:t>笼位26套</w:t>
            </w:r>
            <w:proofErr w:type="gramEnd"/>
            <w:r>
              <w:rPr>
                <w:rFonts w:hint="eastAsia"/>
              </w:rPr>
              <w:t>，双面架180</w:t>
            </w:r>
            <w:proofErr w:type="gramStart"/>
            <w:r>
              <w:rPr>
                <w:rFonts w:hint="eastAsia"/>
              </w:rPr>
              <w:t>笼位6套</w:t>
            </w:r>
            <w:proofErr w:type="gramEnd"/>
            <w:r>
              <w:rPr>
                <w:rFonts w:hint="eastAsia"/>
              </w:rPr>
              <w:t>，160</w:t>
            </w:r>
            <w:proofErr w:type="gramStart"/>
            <w:r>
              <w:rPr>
                <w:rFonts w:hint="eastAsia"/>
              </w:rPr>
              <w:t>笼位2套</w:t>
            </w:r>
            <w:proofErr w:type="gramEnd"/>
            <w:r>
              <w:rPr>
                <w:rFonts w:hint="eastAsia"/>
              </w:rPr>
              <w:t>；</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3.2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小鼠备用笼盖、挂牌、隔栏按30%配备：1122件；小鼠备用</w:t>
            </w:r>
            <w:proofErr w:type="gramStart"/>
            <w:r>
              <w:rPr>
                <w:rFonts w:hint="eastAsia"/>
              </w:rPr>
              <w:t>笼底按</w:t>
            </w:r>
            <w:proofErr w:type="gramEnd"/>
            <w:r>
              <w:rPr>
                <w:rFonts w:hint="eastAsia"/>
              </w:rPr>
              <w:t>50%配备：1870件；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3.3</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大鼠IVC</w:t>
            </w:r>
            <w:proofErr w:type="gramStart"/>
            <w:r>
              <w:rPr>
                <w:rFonts w:hint="eastAsia"/>
              </w:rPr>
              <w:t>笼</w:t>
            </w:r>
            <w:proofErr w:type="gramEnd"/>
            <w:r>
              <w:rPr>
                <w:rFonts w:hint="eastAsia"/>
              </w:rPr>
              <w:t>位数224，单面架32</w:t>
            </w:r>
            <w:proofErr w:type="gramStart"/>
            <w:r>
              <w:rPr>
                <w:rFonts w:hint="eastAsia"/>
              </w:rPr>
              <w:t>笼位7套</w:t>
            </w:r>
            <w:proofErr w:type="gramEnd"/>
            <w:r>
              <w:rPr>
                <w:rFonts w:hint="eastAsia"/>
              </w:rPr>
              <w:t>；</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3.4</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大鼠备用笼盖、挂牌、隔栏按30%配备：68件；大鼠备用</w:t>
            </w:r>
            <w:proofErr w:type="gramStart"/>
            <w:r>
              <w:rPr>
                <w:rFonts w:hint="eastAsia"/>
              </w:rPr>
              <w:t>笼底按</w:t>
            </w:r>
            <w:proofErr w:type="gramEnd"/>
            <w:r>
              <w:rPr>
                <w:rFonts w:hint="eastAsia"/>
              </w:rPr>
              <w:t>50%配备：112件；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3.5</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兔笼位数48,9</w:t>
            </w:r>
            <w:proofErr w:type="gramStart"/>
            <w:r>
              <w:rPr>
                <w:rFonts w:hint="eastAsia"/>
              </w:rPr>
              <w:t>笼位4套</w:t>
            </w:r>
            <w:proofErr w:type="gramEnd"/>
            <w:r>
              <w:rPr>
                <w:rFonts w:hint="eastAsia"/>
              </w:rPr>
              <w:t>，6</w:t>
            </w:r>
            <w:proofErr w:type="gramStart"/>
            <w:r>
              <w:rPr>
                <w:rFonts w:hint="eastAsia"/>
              </w:rPr>
              <w:t>笼位2套</w:t>
            </w:r>
            <w:proofErr w:type="gramEnd"/>
            <w:r>
              <w:rPr>
                <w:rFonts w:hint="eastAsia"/>
              </w:rPr>
              <w:t>；</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3.6</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豚鼠</w:t>
            </w:r>
            <w:proofErr w:type="gramStart"/>
            <w:r>
              <w:rPr>
                <w:rFonts w:hint="eastAsia"/>
              </w:rPr>
              <w:t>笼</w:t>
            </w:r>
            <w:proofErr w:type="gramEnd"/>
            <w:r>
              <w:rPr>
                <w:rFonts w:hint="eastAsia"/>
              </w:rPr>
              <w:t>位数24,9</w:t>
            </w:r>
            <w:proofErr w:type="gramStart"/>
            <w:r>
              <w:rPr>
                <w:rFonts w:hint="eastAsia"/>
              </w:rPr>
              <w:t>笼位2套</w:t>
            </w:r>
            <w:proofErr w:type="gramEnd"/>
            <w:r>
              <w:rPr>
                <w:rFonts w:hint="eastAsia"/>
              </w:rPr>
              <w:t>，6</w:t>
            </w:r>
            <w:proofErr w:type="gramStart"/>
            <w:r>
              <w:rPr>
                <w:rFonts w:hint="eastAsia"/>
              </w:rPr>
              <w:t>笼位1套</w:t>
            </w:r>
            <w:proofErr w:type="gramEnd"/>
            <w:r>
              <w:rPr>
                <w:rFonts w:hint="eastAsia"/>
              </w:rPr>
              <w:t>；</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3.7</w:t>
            </w:r>
          </w:p>
        </w:tc>
        <w:tc>
          <w:tcPr>
            <w:tcW w:w="4622" w:type="pct"/>
            <w:gridSpan w:val="2"/>
          </w:tcPr>
          <w:p w:rsidR="00E0040B" w:rsidRDefault="003E039B">
            <w:pPr>
              <w:framePr w:hSpace="0" w:wrap="auto" w:vAnchor="margin" w:hAnchor="text" w:xAlign="left" w:yAlign="inline"/>
              <w:ind w:rightChars="-34" w:right="-82"/>
              <w:suppressOverlap w:val="0"/>
            </w:pPr>
            <w:proofErr w:type="gramStart"/>
            <w:r>
              <w:rPr>
                <w:rFonts w:hint="eastAsia"/>
              </w:rPr>
              <w:t>猪犬通用笼</w:t>
            </w:r>
            <w:proofErr w:type="gramEnd"/>
            <w:r>
              <w:rPr>
                <w:rFonts w:hint="eastAsia"/>
              </w:rPr>
              <w:t>单层19套；</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四</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售后服务要求</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4.1</w:t>
            </w:r>
          </w:p>
        </w:tc>
        <w:tc>
          <w:tcPr>
            <w:tcW w:w="4622" w:type="pct"/>
            <w:gridSpan w:val="2"/>
          </w:tcPr>
          <w:p w:rsidR="00E0040B" w:rsidRPr="00C2207B" w:rsidRDefault="003E039B">
            <w:pPr>
              <w:framePr w:hSpace="0" w:wrap="auto" w:vAnchor="margin" w:hAnchor="text" w:xAlign="left" w:yAlign="inline"/>
              <w:ind w:rightChars="-34" w:right="-82"/>
              <w:suppressOverlap w:val="0"/>
            </w:pPr>
            <w:r w:rsidRPr="00C2207B">
              <w:rPr>
                <w:rFonts w:hint="eastAsia"/>
              </w:rPr>
              <w:t>原厂整机质保期不少于≥10 年（包含笼盒、主机、耗材等），质保期</w:t>
            </w:r>
            <w:proofErr w:type="gramStart"/>
            <w:r w:rsidRPr="00C2207B">
              <w:rPr>
                <w:rFonts w:hint="eastAsia"/>
              </w:rPr>
              <w:t>自项目</w:t>
            </w:r>
            <w:proofErr w:type="gramEnd"/>
            <w:r w:rsidRPr="00C2207B">
              <w:rPr>
                <w:rFonts w:hint="eastAsia"/>
              </w:rPr>
              <w:t xml:space="preserve">验收合格后开始计算；    </w:t>
            </w:r>
            <w:r>
              <w:rPr>
                <w:rFonts w:hint="eastAsia"/>
              </w:rPr>
              <w:t xml:space="preserve">                    </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4.2</w:t>
            </w:r>
          </w:p>
        </w:tc>
        <w:tc>
          <w:tcPr>
            <w:tcW w:w="4622" w:type="pct"/>
            <w:gridSpan w:val="2"/>
          </w:tcPr>
          <w:p w:rsidR="00E0040B" w:rsidRDefault="003E039B">
            <w:pPr>
              <w:framePr w:hSpace="0" w:wrap="auto" w:vAnchor="margin" w:hAnchor="text" w:xAlign="left" w:yAlign="inline"/>
              <w:ind w:rightChars="-34" w:right="-82"/>
              <w:suppressOverlap w:val="0"/>
            </w:pPr>
            <w:r w:rsidRPr="00C2207B">
              <w:rPr>
                <w:rFonts w:hint="eastAsia"/>
              </w:rPr>
              <w:t>质保期内，若产品出现质量及安全问题造成小鼠死亡，中标方应承担相应的责任；</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4</w:t>
            </w:r>
            <w:r>
              <w:t>.3</w:t>
            </w:r>
          </w:p>
        </w:tc>
        <w:tc>
          <w:tcPr>
            <w:tcW w:w="4622" w:type="pct"/>
            <w:gridSpan w:val="2"/>
            <w:shd w:val="clear" w:color="auto" w:fill="auto"/>
          </w:tcPr>
          <w:p w:rsidR="00E0040B" w:rsidRDefault="003E039B">
            <w:pPr>
              <w:framePr w:hSpace="0" w:wrap="auto" w:vAnchor="margin" w:hAnchor="text" w:xAlign="left" w:yAlign="inline"/>
              <w:ind w:rightChars="-34" w:right="-82"/>
              <w:suppressOverlap w:val="0"/>
            </w:pPr>
            <w:r>
              <w:rPr>
                <w:rFonts w:hint="eastAsia"/>
              </w:rPr>
              <w:t>质保期内所有服务及</w:t>
            </w:r>
            <w:r w:rsidRPr="00C2207B">
              <w:rPr>
                <w:rFonts w:hint="eastAsia"/>
              </w:rPr>
              <w:t>软硬件更换、升级全部免费</w:t>
            </w:r>
            <w:r>
              <w:rPr>
                <w:rFonts w:hint="eastAsia"/>
              </w:rPr>
              <w:t>，更换配件为原厂全新配件；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4</w:t>
            </w:r>
            <w:r>
              <w:t>.4</w:t>
            </w:r>
          </w:p>
        </w:tc>
        <w:tc>
          <w:tcPr>
            <w:tcW w:w="4622" w:type="pct"/>
            <w:gridSpan w:val="2"/>
            <w:shd w:val="clear" w:color="auto" w:fill="auto"/>
          </w:tcPr>
          <w:p w:rsidR="00E0040B" w:rsidRDefault="003E039B">
            <w:pPr>
              <w:framePr w:hSpace="0" w:wrap="auto" w:vAnchor="margin" w:hAnchor="text" w:xAlign="left" w:yAlign="inline"/>
              <w:ind w:rightChars="-34" w:right="-82"/>
              <w:suppressOverlap w:val="0"/>
            </w:pPr>
            <w:r w:rsidRPr="00C2207B">
              <w:rPr>
                <w:rFonts w:hint="eastAsia"/>
              </w:rPr>
              <w:t>提供原厂</w:t>
            </w:r>
            <w:proofErr w:type="gramStart"/>
            <w:r>
              <w:rPr>
                <w:rFonts w:hint="eastAsia"/>
              </w:rPr>
              <w:t>终身维保服务</w:t>
            </w:r>
            <w:proofErr w:type="gramEnd"/>
            <w:r>
              <w:rPr>
                <w:rFonts w:hint="eastAsia"/>
              </w:rPr>
              <w:t>，质保期外维修只收取材料和配件费，</w:t>
            </w:r>
            <w:r w:rsidRPr="00C2207B">
              <w:rPr>
                <w:rFonts w:hint="eastAsia"/>
              </w:rPr>
              <w:t>先维修后付款，</w:t>
            </w:r>
            <w:r>
              <w:rPr>
                <w:rFonts w:hint="eastAsia"/>
              </w:rPr>
              <w:t>维修和更换配件为原厂全新配件，</w:t>
            </w:r>
            <w:proofErr w:type="gramStart"/>
            <w:r w:rsidRPr="00C2207B">
              <w:rPr>
                <w:rFonts w:hint="eastAsia"/>
              </w:rPr>
              <w:t>标书需</w:t>
            </w:r>
            <w:proofErr w:type="gramEnd"/>
            <w:r>
              <w:rPr>
                <w:rFonts w:hint="eastAsia"/>
              </w:rPr>
              <w:t>提供维修配件报价清单。</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4</w:t>
            </w:r>
            <w:r>
              <w:t>.5</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售后服务1小时内响应，如不能电话解决，工程师应</w:t>
            </w:r>
            <w:r>
              <w:t>2</w:t>
            </w:r>
            <w:r>
              <w:rPr>
                <w:rFonts w:hint="eastAsia"/>
              </w:rPr>
              <w:t>小时内到达采购人现场处理，直至故障解决；</w:t>
            </w:r>
            <w:r w:rsidRPr="00C2207B">
              <w:rPr>
                <w:rFonts w:hint="eastAsia"/>
              </w:rPr>
              <w:t>质保期内若24小时无法排除故障，中标方需更换全新的原厂件。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4</w:t>
            </w:r>
            <w:r>
              <w:t>.6</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如果产品技术升级，中标方应及时通知采购人，并根据采购人的要求对设备进行免费升级服务。</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4</w:t>
            </w:r>
            <w:r>
              <w:t>.7</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产品自验收合格之日起，中标方应每月对设备进行回访，了解采购人的产品使用情况并作好记录，一年回访</w:t>
            </w:r>
            <w:r w:rsidRPr="00C2207B">
              <w:rPr>
                <w:rFonts w:hint="eastAsia"/>
              </w:rPr>
              <w:t>不少于</w:t>
            </w:r>
            <w:r>
              <w:t>12次，并提供详细的设备维护保养回访检查报告给采购人，及时获取客户反馈信息。</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五</w:t>
            </w:r>
          </w:p>
        </w:tc>
        <w:tc>
          <w:tcPr>
            <w:tcW w:w="4622" w:type="pct"/>
            <w:gridSpan w:val="2"/>
          </w:tcPr>
          <w:p w:rsidR="00E0040B" w:rsidRDefault="003E039B">
            <w:pPr>
              <w:framePr w:hSpace="0" w:wrap="auto" w:vAnchor="margin" w:hAnchor="text" w:xAlign="left" w:yAlign="inline"/>
              <w:suppressOverlap w:val="0"/>
            </w:pPr>
            <w:r>
              <w:rPr>
                <w:rFonts w:hint="eastAsia"/>
              </w:rPr>
              <w:t xml:space="preserve">                                  </w:t>
            </w:r>
            <w:r>
              <w:rPr>
                <w:rFonts w:hint="eastAsia"/>
                <w:b/>
              </w:rPr>
              <w:t>配套耗材情况</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5.1</w:t>
            </w:r>
          </w:p>
        </w:tc>
        <w:tc>
          <w:tcPr>
            <w:tcW w:w="4622" w:type="pct"/>
            <w:gridSpan w:val="2"/>
          </w:tcPr>
          <w:p w:rsidR="00E0040B" w:rsidRDefault="003E039B">
            <w:pPr>
              <w:framePr w:hSpace="0" w:wrap="auto" w:vAnchor="margin" w:hAnchor="text" w:xAlign="left" w:yAlign="inline"/>
              <w:suppressOverlap w:val="0"/>
            </w:pPr>
            <w:r w:rsidRPr="00C2207B">
              <w:rPr>
                <w:rFonts w:hint="eastAsia"/>
              </w:rPr>
              <w:t>初、高效过滤器</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六</w:t>
            </w:r>
          </w:p>
        </w:tc>
        <w:tc>
          <w:tcPr>
            <w:tcW w:w="4622" w:type="pct"/>
            <w:gridSpan w:val="2"/>
          </w:tcPr>
          <w:p w:rsidR="00E0040B" w:rsidRDefault="003E039B">
            <w:pPr>
              <w:framePr w:hSpace="0" w:wrap="auto" w:vAnchor="margin" w:hAnchor="text" w:xAlign="left" w:yAlign="inline"/>
              <w:ind w:firstLineChars="1800" w:firstLine="4337"/>
              <w:suppressOverlap w:val="0"/>
            </w:pPr>
            <w:r>
              <w:rPr>
                <w:rFonts w:hint="eastAsia"/>
                <w:b/>
                <w:bCs w:val="0"/>
              </w:rPr>
              <w:t>验收标准</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.1</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验收由采购人负责实施。</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验收依据：</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.2.1</w:t>
            </w:r>
          </w:p>
        </w:tc>
        <w:tc>
          <w:tcPr>
            <w:tcW w:w="4622" w:type="pct"/>
            <w:gridSpan w:val="2"/>
          </w:tcPr>
          <w:p w:rsidR="00E0040B" w:rsidRDefault="003E039B">
            <w:pPr>
              <w:framePr w:hSpace="0" w:wrap="auto" w:vAnchor="margin" w:hAnchor="text" w:xAlign="left" w:yAlign="inline"/>
              <w:ind w:rightChars="-34" w:right="-82"/>
              <w:suppressOverlap w:val="0"/>
            </w:pPr>
            <w:r>
              <w:t>合同、磋商文件、响应文件；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.2.2</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中标方</w:t>
            </w:r>
            <w:r>
              <w:t>提供的技术规格、经采购人认可的合同货物的有效检验文件；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.2.3</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中标方</w:t>
            </w:r>
            <w:r>
              <w:t>响应文件中提供的经采购人认可的合同货物的验收标准（符合中国有关的国家、地方、行业标准）和检测办法及相应检测手段。</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.3</w:t>
            </w:r>
          </w:p>
        </w:tc>
        <w:tc>
          <w:tcPr>
            <w:tcW w:w="4622" w:type="pct"/>
            <w:gridSpan w:val="2"/>
          </w:tcPr>
          <w:p w:rsidR="00E0040B" w:rsidRDefault="003E039B">
            <w:pPr>
              <w:framePr w:hSpace="0" w:wrap="auto" w:vAnchor="margin" w:hAnchor="text" w:xAlign="left" w:yAlign="inline"/>
              <w:ind w:rightChars="-34" w:right="-82"/>
              <w:suppressOverlap w:val="0"/>
            </w:pPr>
            <w:r>
              <w:rPr>
                <w:rFonts w:hint="eastAsia"/>
              </w:rPr>
              <w:t>中标方</w:t>
            </w:r>
            <w:r>
              <w:t>应派员在所供货物到采购人处时进行到货验收，</w:t>
            </w:r>
            <w:r>
              <w:rPr>
                <w:rFonts w:hint="eastAsia"/>
              </w:rPr>
              <w:t>发现任何损坏及质量问题，中标方负责妥善处理直至采购人满意，由此产生的费用由中标方承担。</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.4</w:t>
            </w:r>
          </w:p>
        </w:tc>
        <w:tc>
          <w:tcPr>
            <w:tcW w:w="4622" w:type="pct"/>
            <w:gridSpan w:val="2"/>
          </w:tcPr>
          <w:p w:rsidR="00E0040B" w:rsidRDefault="003E039B">
            <w:pPr>
              <w:framePr w:hSpace="0" w:wrap="auto" w:vAnchor="margin" w:hAnchor="text" w:xAlign="left" w:yAlign="inline"/>
              <w:ind w:rightChars="-34" w:right="-82"/>
              <w:suppressOverlap w:val="0"/>
            </w:pPr>
            <w:r>
              <w:t>验收合格的条件：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.4.1</w:t>
            </w:r>
          </w:p>
        </w:tc>
        <w:tc>
          <w:tcPr>
            <w:tcW w:w="4622" w:type="pct"/>
            <w:gridSpan w:val="2"/>
          </w:tcPr>
          <w:p w:rsidR="00E0040B" w:rsidRDefault="003E039B">
            <w:pPr>
              <w:framePr w:hSpace="0" w:wrap="auto" w:vAnchor="margin" w:hAnchor="text" w:xAlign="left" w:yAlign="inline"/>
              <w:ind w:rightChars="-34" w:right="-82"/>
              <w:suppressOverlap w:val="0"/>
            </w:pPr>
            <w:r>
              <w:t>所供货物符合产品标准和合同的要求；</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.4.2</w:t>
            </w:r>
          </w:p>
        </w:tc>
        <w:tc>
          <w:tcPr>
            <w:tcW w:w="4622" w:type="pct"/>
            <w:gridSpan w:val="2"/>
          </w:tcPr>
          <w:p w:rsidR="00E0040B" w:rsidRDefault="003E039B">
            <w:pPr>
              <w:framePr w:hSpace="0" w:wrap="auto" w:vAnchor="margin" w:hAnchor="text" w:xAlign="left" w:yAlign="inline"/>
              <w:ind w:rightChars="-34" w:right="-82"/>
              <w:suppressOverlap w:val="0"/>
            </w:pPr>
            <w:r>
              <w:t>在进行测试和验收过程中发现的问题已被解决并得到采购人的认可；</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.4.3</w:t>
            </w:r>
          </w:p>
        </w:tc>
        <w:tc>
          <w:tcPr>
            <w:tcW w:w="4622" w:type="pct"/>
            <w:gridSpan w:val="2"/>
          </w:tcPr>
          <w:p w:rsidR="00E0040B" w:rsidRDefault="003E039B">
            <w:pPr>
              <w:framePr w:hSpace="0" w:wrap="auto" w:vAnchor="margin" w:hAnchor="text" w:xAlign="left" w:yAlign="inline"/>
              <w:ind w:rightChars="-34" w:right="-82"/>
              <w:suppressOverlap w:val="0"/>
            </w:pPr>
            <w:r>
              <w:t>合同中规定的所有货物和材料均已交付；</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.4.4</w:t>
            </w:r>
          </w:p>
        </w:tc>
        <w:tc>
          <w:tcPr>
            <w:tcW w:w="4622" w:type="pct"/>
            <w:gridSpan w:val="2"/>
          </w:tcPr>
          <w:p w:rsidR="00E0040B" w:rsidRDefault="003E039B">
            <w:pPr>
              <w:framePr w:hSpace="0" w:wrap="auto" w:vAnchor="margin" w:hAnchor="text" w:xAlign="left" w:yAlign="inline"/>
              <w:ind w:rightChars="-34" w:right="-82"/>
              <w:suppressOverlap w:val="0"/>
            </w:pPr>
            <w:r>
              <w:t>所供货物已通过使用单位组织的验收；</w:t>
            </w:r>
          </w:p>
        </w:tc>
      </w:tr>
      <w:tr w:rsidR="00E0040B" w:rsidTr="00F563B4">
        <w:trPr>
          <w:trHeight w:val="308"/>
        </w:trPr>
        <w:tc>
          <w:tcPr>
            <w:tcW w:w="378" w:type="pct"/>
          </w:tcPr>
          <w:p w:rsidR="00E0040B" w:rsidRDefault="003E039B">
            <w:pPr>
              <w:framePr w:hSpace="0" w:wrap="auto" w:vAnchor="margin" w:hAnchor="text" w:xAlign="left" w:yAlign="inline"/>
              <w:suppressOverlap w:val="0"/>
            </w:pPr>
            <w:r>
              <w:rPr>
                <w:rFonts w:hint="eastAsia"/>
              </w:rPr>
              <w:t>6</w:t>
            </w:r>
            <w:r>
              <w:t>.4.5</w:t>
            </w:r>
          </w:p>
        </w:tc>
        <w:tc>
          <w:tcPr>
            <w:tcW w:w="4622" w:type="pct"/>
            <w:gridSpan w:val="2"/>
          </w:tcPr>
          <w:p w:rsidR="00E0040B" w:rsidRDefault="003E039B">
            <w:pPr>
              <w:framePr w:hSpace="0" w:wrap="auto" w:vAnchor="margin" w:hAnchor="text" w:xAlign="left" w:yAlign="inline"/>
              <w:ind w:rightChars="-34" w:right="-82"/>
              <w:suppressOverlap w:val="0"/>
            </w:pPr>
            <w:r>
              <w:t>所有相关的技术文件及资料均已提交并得到接受。</w:t>
            </w:r>
          </w:p>
        </w:tc>
      </w:tr>
    </w:tbl>
    <w:p w:rsidR="00E0040B" w:rsidRDefault="00E0040B">
      <w:pPr>
        <w:framePr w:wrap="around"/>
      </w:pPr>
    </w:p>
    <w:p w:rsidR="00E0040B" w:rsidRDefault="00E0040B">
      <w:pPr>
        <w:framePr w:wrap="around"/>
      </w:pPr>
    </w:p>
    <w:sectPr w:rsidR="00E0040B" w:rsidSect="00C2284D">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00" w:rsidRDefault="005E2000">
      <w:pPr>
        <w:framePr w:wrap="around"/>
      </w:pPr>
      <w:r>
        <w:separator/>
      </w:r>
    </w:p>
  </w:endnote>
  <w:endnote w:type="continuationSeparator" w:id="0">
    <w:p w:rsidR="005E2000" w:rsidRDefault="005E2000">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00" w:rsidRDefault="005E2000">
      <w:pPr>
        <w:framePr w:wrap="around"/>
      </w:pPr>
      <w:r>
        <w:separator/>
      </w:r>
    </w:p>
  </w:footnote>
  <w:footnote w:type="continuationSeparator" w:id="0">
    <w:p w:rsidR="005E2000" w:rsidRDefault="005E2000">
      <w:pPr>
        <w:framePr w:wrap="aroun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B28549C"/>
    <w:rsid w:val="00034B25"/>
    <w:rsid w:val="00042754"/>
    <w:rsid w:val="000755F0"/>
    <w:rsid w:val="000A560F"/>
    <w:rsid w:val="000B773A"/>
    <w:rsid w:val="000D322E"/>
    <w:rsid w:val="000D32B5"/>
    <w:rsid w:val="000E5B4C"/>
    <w:rsid w:val="000F7242"/>
    <w:rsid w:val="0011480D"/>
    <w:rsid w:val="00116E19"/>
    <w:rsid w:val="00131766"/>
    <w:rsid w:val="00132228"/>
    <w:rsid w:val="00153FCE"/>
    <w:rsid w:val="00164E73"/>
    <w:rsid w:val="00170E12"/>
    <w:rsid w:val="001B3D80"/>
    <w:rsid w:val="001E4FF6"/>
    <w:rsid w:val="001F5E21"/>
    <w:rsid w:val="00205D84"/>
    <w:rsid w:val="00213FBB"/>
    <w:rsid w:val="002224BF"/>
    <w:rsid w:val="002646FF"/>
    <w:rsid w:val="002656BF"/>
    <w:rsid w:val="002868FE"/>
    <w:rsid w:val="00295EEF"/>
    <w:rsid w:val="002E50CB"/>
    <w:rsid w:val="0032028D"/>
    <w:rsid w:val="00333A19"/>
    <w:rsid w:val="00346490"/>
    <w:rsid w:val="00361CCA"/>
    <w:rsid w:val="00365678"/>
    <w:rsid w:val="003932D0"/>
    <w:rsid w:val="003C1689"/>
    <w:rsid w:val="003C7D25"/>
    <w:rsid w:val="003E039B"/>
    <w:rsid w:val="003E07EA"/>
    <w:rsid w:val="00427ED4"/>
    <w:rsid w:val="004316D1"/>
    <w:rsid w:val="00440004"/>
    <w:rsid w:val="00495398"/>
    <w:rsid w:val="00500A22"/>
    <w:rsid w:val="00533B7D"/>
    <w:rsid w:val="00542A3E"/>
    <w:rsid w:val="00556BF2"/>
    <w:rsid w:val="005A134E"/>
    <w:rsid w:val="005E2000"/>
    <w:rsid w:val="00645DA0"/>
    <w:rsid w:val="00670E3A"/>
    <w:rsid w:val="00673680"/>
    <w:rsid w:val="006801CD"/>
    <w:rsid w:val="006D213C"/>
    <w:rsid w:val="006D2BC4"/>
    <w:rsid w:val="006D3DD6"/>
    <w:rsid w:val="006F28D0"/>
    <w:rsid w:val="00744FC5"/>
    <w:rsid w:val="007466E2"/>
    <w:rsid w:val="00783771"/>
    <w:rsid w:val="00793560"/>
    <w:rsid w:val="007A02F9"/>
    <w:rsid w:val="00823507"/>
    <w:rsid w:val="0083742C"/>
    <w:rsid w:val="008416B3"/>
    <w:rsid w:val="0085416E"/>
    <w:rsid w:val="00860454"/>
    <w:rsid w:val="008E3AAB"/>
    <w:rsid w:val="00927136"/>
    <w:rsid w:val="00935702"/>
    <w:rsid w:val="009551B5"/>
    <w:rsid w:val="009C5EE1"/>
    <w:rsid w:val="009D74D8"/>
    <w:rsid w:val="009E0165"/>
    <w:rsid w:val="009F2DE5"/>
    <w:rsid w:val="009F3A52"/>
    <w:rsid w:val="00A10A5D"/>
    <w:rsid w:val="00A15698"/>
    <w:rsid w:val="00A23BFF"/>
    <w:rsid w:val="00A615D4"/>
    <w:rsid w:val="00A657B2"/>
    <w:rsid w:val="00AC39B2"/>
    <w:rsid w:val="00AD43A0"/>
    <w:rsid w:val="00B37853"/>
    <w:rsid w:val="00B72F98"/>
    <w:rsid w:val="00B93218"/>
    <w:rsid w:val="00BC2B91"/>
    <w:rsid w:val="00BE18BA"/>
    <w:rsid w:val="00BF1081"/>
    <w:rsid w:val="00C2207B"/>
    <w:rsid w:val="00C2284D"/>
    <w:rsid w:val="00C55F81"/>
    <w:rsid w:val="00C74334"/>
    <w:rsid w:val="00CC4542"/>
    <w:rsid w:val="00D26EA4"/>
    <w:rsid w:val="00D344CF"/>
    <w:rsid w:val="00D355C4"/>
    <w:rsid w:val="00D40ACE"/>
    <w:rsid w:val="00DB746D"/>
    <w:rsid w:val="00DE6CC9"/>
    <w:rsid w:val="00DF6459"/>
    <w:rsid w:val="00E0040B"/>
    <w:rsid w:val="00E277CF"/>
    <w:rsid w:val="00E543C4"/>
    <w:rsid w:val="00E92EF5"/>
    <w:rsid w:val="00EA14DB"/>
    <w:rsid w:val="00EA7A7B"/>
    <w:rsid w:val="00ED44F0"/>
    <w:rsid w:val="00F06C5E"/>
    <w:rsid w:val="00F25F75"/>
    <w:rsid w:val="00F4438F"/>
    <w:rsid w:val="00F563B4"/>
    <w:rsid w:val="00F6005B"/>
    <w:rsid w:val="00FB022B"/>
    <w:rsid w:val="00FB2AF3"/>
    <w:rsid w:val="00FF266E"/>
    <w:rsid w:val="00FF4DC6"/>
    <w:rsid w:val="06CC6306"/>
    <w:rsid w:val="07A70F85"/>
    <w:rsid w:val="099077F7"/>
    <w:rsid w:val="0C7D2E8A"/>
    <w:rsid w:val="0F2C1D70"/>
    <w:rsid w:val="10477E7E"/>
    <w:rsid w:val="157635D2"/>
    <w:rsid w:val="1A444411"/>
    <w:rsid w:val="1ADC4941"/>
    <w:rsid w:val="1D9872AA"/>
    <w:rsid w:val="1E8B08F3"/>
    <w:rsid w:val="208E5D79"/>
    <w:rsid w:val="22A266DE"/>
    <w:rsid w:val="2413693F"/>
    <w:rsid w:val="24303C58"/>
    <w:rsid w:val="26651C51"/>
    <w:rsid w:val="26C83185"/>
    <w:rsid w:val="28331C1B"/>
    <w:rsid w:val="2DF6381D"/>
    <w:rsid w:val="2EE34571"/>
    <w:rsid w:val="2F963707"/>
    <w:rsid w:val="34480AEF"/>
    <w:rsid w:val="346A2C09"/>
    <w:rsid w:val="38A03D8B"/>
    <w:rsid w:val="397F500E"/>
    <w:rsid w:val="44C578EC"/>
    <w:rsid w:val="46D9408C"/>
    <w:rsid w:val="4A946440"/>
    <w:rsid w:val="4AFB588F"/>
    <w:rsid w:val="4F361873"/>
    <w:rsid w:val="4F871873"/>
    <w:rsid w:val="5118618C"/>
    <w:rsid w:val="55A175CA"/>
    <w:rsid w:val="57B777A7"/>
    <w:rsid w:val="59CE33A8"/>
    <w:rsid w:val="5BB87046"/>
    <w:rsid w:val="5F7056A6"/>
    <w:rsid w:val="61386D43"/>
    <w:rsid w:val="62486413"/>
    <w:rsid w:val="660D0B9F"/>
    <w:rsid w:val="663336A5"/>
    <w:rsid w:val="67212ADF"/>
    <w:rsid w:val="69DB0917"/>
    <w:rsid w:val="6A3D32C7"/>
    <w:rsid w:val="6E873EA7"/>
    <w:rsid w:val="70326D5C"/>
    <w:rsid w:val="72901CD2"/>
    <w:rsid w:val="73691968"/>
    <w:rsid w:val="74A23383"/>
    <w:rsid w:val="78CF7790"/>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framePr w:hSpace="180" w:wrap="around" w:vAnchor="text" w:hAnchor="page" w:x="437" w:y="139"/>
      <w:widowControl w:val="0"/>
      <w:ind w:rightChars="-162" w:right="-389"/>
      <w:suppressOverlap/>
      <w:jc w:val="both"/>
    </w:pPr>
    <w:rPr>
      <w:rFonts w:asciiTheme="majorEastAsia" w:eastAsiaTheme="majorEastAsia" w:hAnsiTheme="majorEastAsia"/>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framePr w:wrap="around"/>
      <w:tabs>
        <w:tab w:val="center" w:pos="4153"/>
        <w:tab w:val="right" w:pos="8306"/>
      </w:tabs>
      <w:snapToGrid w:val="0"/>
      <w:jc w:val="left"/>
    </w:pPr>
    <w:rPr>
      <w:sz w:val="18"/>
      <w:szCs w:val="18"/>
    </w:rPr>
  </w:style>
  <w:style w:type="paragraph" w:styleId="a4">
    <w:name w:val="header"/>
    <w:basedOn w:val="a"/>
    <w:link w:val="Char0"/>
    <w:qFormat/>
    <w:pPr>
      <w:framePr w:wrap="around"/>
      <w:tabs>
        <w:tab w:val="center" w:pos="4153"/>
        <w:tab w:val="right" w:pos="8306"/>
      </w:tabs>
      <w:snapToGrid w:val="0"/>
      <w:jc w:val="center"/>
    </w:pPr>
    <w:rPr>
      <w:sz w:val="18"/>
      <w:szCs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framePr w:hSpace="180" w:wrap="around" w:vAnchor="text" w:hAnchor="page" w:x="437" w:y="139"/>
      <w:widowControl w:val="0"/>
      <w:ind w:rightChars="-162" w:right="-389"/>
      <w:suppressOverlap/>
      <w:jc w:val="both"/>
    </w:pPr>
    <w:rPr>
      <w:rFonts w:asciiTheme="majorEastAsia" w:eastAsiaTheme="majorEastAsia" w:hAnsiTheme="majorEastAsia"/>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framePr w:wrap="around"/>
      <w:tabs>
        <w:tab w:val="center" w:pos="4153"/>
        <w:tab w:val="right" w:pos="8306"/>
      </w:tabs>
      <w:snapToGrid w:val="0"/>
      <w:jc w:val="left"/>
    </w:pPr>
    <w:rPr>
      <w:sz w:val="18"/>
      <w:szCs w:val="18"/>
    </w:rPr>
  </w:style>
  <w:style w:type="paragraph" w:styleId="a4">
    <w:name w:val="header"/>
    <w:basedOn w:val="a"/>
    <w:link w:val="Char0"/>
    <w:qFormat/>
    <w:pPr>
      <w:framePr w:wrap="around"/>
      <w:tabs>
        <w:tab w:val="center" w:pos="4153"/>
        <w:tab w:val="right" w:pos="8306"/>
      </w:tabs>
      <w:snapToGrid w:val="0"/>
      <w:jc w:val="center"/>
    </w:pPr>
    <w:rPr>
      <w:sz w:val="18"/>
      <w:szCs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59</cp:revision>
  <dcterms:created xsi:type="dcterms:W3CDTF">2023-10-19T02:31:00Z</dcterms:created>
  <dcterms:modified xsi:type="dcterms:W3CDTF">2025-01-06T06:29:00Z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79D49E868B3E445CBCF4CF483A80A320_13</vt:lpwstr>
  </property>
</Properties>
</file>