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3CC029FC"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sidR="00023E7C">
        <w:rPr>
          <w:rFonts w:ascii="华文楷体" w:eastAsia="华文楷体" w:hAnsi="华文楷体" w:hint="eastAsia"/>
        </w:rPr>
        <w:t xml:space="preserve">   </w:t>
      </w:r>
      <w:bookmarkStart w:id="0" w:name="_GoBack"/>
      <w:bookmarkEnd w:id="0"/>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3、外送检验项目结果需回传至医院LIS系统，供应商承担相关接口费用；</w:t>
      </w:r>
    </w:p>
    <w:p w14:paraId="5667F9E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4、突发情况：院方自己开展项目仪器发生故障时，提供标本紧急检验服务，按照同类外送项目标本扣率收取费用，</w:t>
      </w:r>
      <w:proofErr w:type="gramStart"/>
      <w:r w:rsidRPr="003170D9">
        <w:rPr>
          <w:rFonts w:ascii="华文楷体" w:eastAsia="华文楷体" w:hAnsi="华文楷体" w:cstheme="minorBidi" w:hint="eastAsia"/>
          <w:sz w:val="24"/>
          <w:szCs w:val="22"/>
        </w:rPr>
        <w:t>不</w:t>
      </w:r>
      <w:proofErr w:type="gramEnd"/>
      <w:r w:rsidRPr="003170D9">
        <w:rPr>
          <w:rFonts w:ascii="华文楷体" w:eastAsia="华文楷体" w:hAnsi="华文楷体" w:cstheme="minorBidi" w:hint="eastAsia"/>
          <w:sz w:val="24"/>
          <w:szCs w:val="22"/>
        </w:rPr>
        <w:t>另计费；</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w:t>
      </w:r>
      <w:proofErr w:type="gramStart"/>
      <w:r w:rsidRPr="003170D9">
        <w:rPr>
          <w:rFonts w:ascii="华文楷体" w:eastAsia="华文楷体" w:hAnsi="华文楷体" w:cstheme="minorBidi" w:hint="eastAsia"/>
          <w:sz w:val="24"/>
          <w:szCs w:val="22"/>
        </w:rPr>
        <w:t>室内质</w:t>
      </w:r>
      <w:proofErr w:type="gramEnd"/>
      <w:r w:rsidRPr="003170D9">
        <w:rPr>
          <w:rFonts w:ascii="华文楷体" w:eastAsia="华文楷体" w:hAnsi="华文楷体" w:cstheme="minorBidi" w:hint="eastAsia"/>
          <w:sz w:val="24"/>
          <w:szCs w:val="22"/>
        </w:rPr>
        <w:t>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w:t>
      </w:r>
      <w:proofErr w:type="gramStart"/>
      <w:r w:rsidRPr="003170D9">
        <w:rPr>
          <w:rFonts w:ascii="华文楷体" w:eastAsia="华文楷体" w:hAnsi="华文楷体" w:cstheme="minorBidi" w:hint="eastAsia"/>
          <w:sz w:val="24"/>
          <w:szCs w:val="22"/>
        </w:rPr>
        <w:t>至供应商现场</w:t>
      </w:r>
      <w:proofErr w:type="gramEnd"/>
      <w:r w:rsidRPr="003170D9">
        <w:rPr>
          <w:rFonts w:ascii="华文楷体" w:eastAsia="华文楷体" w:hAnsi="华文楷体" w:cstheme="minorBidi" w:hint="eastAsia"/>
          <w:sz w:val="24"/>
          <w:szCs w:val="22"/>
        </w:rPr>
        <w:t>检查、督导并查看试剂、设备等采购</w:t>
      </w:r>
      <w:proofErr w:type="gramStart"/>
      <w:r w:rsidRPr="003170D9">
        <w:rPr>
          <w:rFonts w:ascii="华文楷体" w:eastAsia="华文楷体" w:hAnsi="华文楷体" w:cstheme="minorBidi" w:hint="eastAsia"/>
          <w:sz w:val="24"/>
          <w:szCs w:val="22"/>
        </w:rPr>
        <w:t>相关台</w:t>
      </w:r>
      <w:proofErr w:type="gramEnd"/>
      <w:r w:rsidRPr="003170D9">
        <w:rPr>
          <w:rFonts w:ascii="华文楷体" w:eastAsia="华文楷体" w:hAnsi="华文楷体" w:cstheme="minorBidi" w:hint="eastAsia"/>
          <w:sz w:val="24"/>
          <w:szCs w:val="22"/>
        </w:rPr>
        <w:t>账，如发现供应</w:t>
      </w:r>
      <w:proofErr w:type="gramStart"/>
      <w:r w:rsidRPr="003170D9">
        <w:rPr>
          <w:rFonts w:ascii="华文楷体" w:eastAsia="华文楷体" w:hAnsi="华文楷体" w:cstheme="minorBidi" w:hint="eastAsia"/>
          <w:sz w:val="24"/>
          <w:szCs w:val="22"/>
        </w:rPr>
        <w:t>商存在</w:t>
      </w:r>
      <w:proofErr w:type="gramEnd"/>
      <w:r w:rsidRPr="003170D9">
        <w:rPr>
          <w:rFonts w:ascii="华文楷体" w:eastAsia="华文楷体" w:hAnsi="华文楷体" w:cstheme="minorBidi" w:hint="eastAsia"/>
          <w:sz w:val="24"/>
          <w:szCs w:val="22"/>
        </w:rPr>
        <w:t>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lastRenderedPageBreak/>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1"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1"/>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000" w:type="pct"/>
        <w:tblLook w:val="04A0" w:firstRow="1" w:lastRow="0" w:firstColumn="1" w:lastColumn="0" w:noHBand="0" w:noVBand="1"/>
      </w:tblPr>
      <w:tblGrid>
        <w:gridCol w:w="1280"/>
        <w:gridCol w:w="2355"/>
        <w:gridCol w:w="1420"/>
        <w:gridCol w:w="1420"/>
        <w:gridCol w:w="2047"/>
      </w:tblGrid>
      <w:tr w:rsidR="004D5364" w:rsidRPr="00733367" w14:paraId="61402C6F" w14:textId="77777777" w:rsidTr="004D5364">
        <w:trPr>
          <w:trHeight w:val="640"/>
        </w:trPr>
        <w:tc>
          <w:tcPr>
            <w:tcW w:w="751" w:type="pct"/>
            <w:vAlign w:val="center"/>
          </w:tcPr>
          <w:p w14:paraId="4022E445" w14:textId="77777777" w:rsidR="004D5364" w:rsidRPr="00733367" w:rsidRDefault="004D5364" w:rsidP="00733367">
            <w:pPr>
              <w:jc w:val="center"/>
              <w:rPr>
                <w:rFonts w:ascii="华文楷体" w:eastAsia="华文楷体" w:hAnsi="华文楷体"/>
                <w:b/>
                <w:sz w:val="21"/>
                <w:szCs w:val="21"/>
              </w:rPr>
            </w:pPr>
            <w:bookmarkStart w:id="2"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382" w:type="pct"/>
            <w:vAlign w:val="center"/>
          </w:tcPr>
          <w:p w14:paraId="159C04E9" w14:textId="77777777" w:rsidR="004D5364" w:rsidRPr="00733367" w:rsidRDefault="004D5364"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833" w:type="pct"/>
            <w:vAlign w:val="center"/>
          </w:tcPr>
          <w:p w14:paraId="3BDA43CF" w14:textId="03ED183D" w:rsidR="004D5364" w:rsidRPr="00CF657E" w:rsidRDefault="00C471F9" w:rsidP="004D5364">
            <w:pPr>
              <w:jc w:val="center"/>
              <w:rPr>
                <w:rFonts w:ascii="华文楷体" w:eastAsia="华文楷体" w:hAnsi="华文楷体"/>
                <w:b/>
                <w:szCs w:val="21"/>
              </w:rPr>
            </w:pPr>
            <w:r w:rsidRPr="00C471F9">
              <w:rPr>
                <w:rFonts w:ascii="华文楷体" w:eastAsia="华文楷体" w:hAnsi="华文楷体" w:hint="eastAsia"/>
                <w:b/>
                <w:szCs w:val="21"/>
              </w:rPr>
              <w:t>浙江省医疗服务价格收费</w:t>
            </w:r>
          </w:p>
        </w:tc>
        <w:tc>
          <w:tcPr>
            <w:tcW w:w="833" w:type="pct"/>
            <w:vAlign w:val="center"/>
          </w:tcPr>
          <w:p w14:paraId="1D7509F5" w14:textId="429727AF" w:rsidR="004D5364" w:rsidRPr="00733367" w:rsidRDefault="004D5364" w:rsidP="00733367">
            <w:pPr>
              <w:jc w:val="center"/>
              <w:rPr>
                <w:rFonts w:ascii="华文楷体" w:eastAsia="华文楷体" w:hAnsi="华文楷体"/>
                <w:b/>
                <w:sz w:val="21"/>
                <w:szCs w:val="21"/>
              </w:rPr>
            </w:pPr>
            <w:r w:rsidRPr="00CF657E">
              <w:rPr>
                <w:rFonts w:ascii="华文楷体" w:eastAsia="华文楷体" w:hAnsi="华文楷体" w:hint="eastAsia"/>
                <w:b/>
                <w:sz w:val="21"/>
                <w:szCs w:val="21"/>
              </w:rPr>
              <w:t>投标报价（%）</w:t>
            </w:r>
          </w:p>
        </w:tc>
        <w:tc>
          <w:tcPr>
            <w:tcW w:w="1201" w:type="pct"/>
            <w:vAlign w:val="center"/>
          </w:tcPr>
          <w:p w14:paraId="789402E6" w14:textId="40C2648D" w:rsidR="004D5364" w:rsidRPr="00733367" w:rsidRDefault="004D5364" w:rsidP="00733367">
            <w:pPr>
              <w:jc w:val="center"/>
              <w:rPr>
                <w:rFonts w:ascii="华文楷体" w:eastAsia="华文楷体" w:hAnsi="华文楷体"/>
                <w:b/>
                <w:sz w:val="21"/>
                <w:szCs w:val="21"/>
              </w:rPr>
            </w:pPr>
            <w:r>
              <w:rPr>
                <w:rFonts w:ascii="华文楷体" w:eastAsia="华文楷体" w:hAnsi="华文楷体" w:hint="eastAsia"/>
                <w:b/>
                <w:sz w:val="21"/>
                <w:szCs w:val="21"/>
              </w:rPr>
              <w:t>备注</w:t>
            </w:r>
            <w:r w:rsidR="00C471F9">
              <w:rPr>
                <w:rFonts w:ascii="华文楷体" w:eastAsia="华文楷体" w:hAnsi="华文楷体" w:hint="eastAsia"/>
                <w:b/>
                <w:sz w:val="21"/>
                <w:szCs w:val="21"/>
              </w:rPr>
              <w:t>（出报告时间）</w:t>
            </w:r>
          </w:p>
        </w:tc>
      </w:tr>
      <w:tr w:rsidR="004D5364" w:rsidRPr="00733367" w14:paraId="730B9AF4" w14:textId="77777777" w:rsidTr="004D5364">
        <w:trPr>
          <w:trHeight w:val="640"/>
        </w:trPr>
        <w:tc>
          <w:tcPr>
            <w:tcW w:w="751" w:type="pct"/>
            <w:vAlign w:val="center"/>
          </w:tcPr>
          <w:p w14:paraId="75F59A54" w14:textId="77777777" w:rsidR="004D5364" w:rsidRPr="00733367" w:rsidRDefault="004D5364" w:rsidP="00733367">
            <w:pPr>
              <w:rPr>
                <w:rFonts w:ascii="华文楷体" w:eastAsia="华文楷体" w:hAnsi="华文楷体"/>
                <w:b/>
                <w:sz w:val="21"/>
                <w:szCs w:val="21"/>
              </w:rPr>
            </w:pPr>
          </w:p>
        </w:tc>
        <w:tc>
          <w:tcPr>
            <w:tcW w:w="1382" w:type="pct"/>
            <w:vAlign w:val="center"/>
          </w:tcPr>
          <w:p w14:paraId="6A2E79F4" w14:textId="77777777" w:rsidR="004D5364" w:rsidRPr="00733367" w:rsidRDefault="004D5364" w:rsidP="00733367">
            <w:pPr>
              <w:rPr>
                <w:rFonts w:ascii="华文楷体" w:eastAsia="华文楷体" w:hAnsi="华文楷体"/>
                <w:b/>
                <w:sz w:val="21"/>
                <w:szCs w:val="21"/>
              </w:rPr>
            </w:pPr>
          </w:p>
        </w:tc>
        <w:tc>
          <w:tcPr>
            <w:tcW w:w="833" w:type="pct"/>
            <w:vAlign w:val="center"/>
          </w:tcPr>
          <w:p w14:paraId="1B27983B"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14098625" w14:textId="3F6830DE" w:rsidR="004D5364" w:rsidRPr="00733367" w:rsidRDefault="004D5364" w:rsidP="00733367">
            <w:pPr>
              <w:rPr>
                <w:rFonts w:ascii="华文楷体" w:eastAsia="华文楷体" w:hAnsi="华文楷体"/>
                <w:b/>
                <w:sz w:val="21"/>
                <w:szCs w:val="21"/>
              </w:rPr>
            </w:pPr>
          </w:p>
        </w:tc>
        <w:tc>
          <w:tcPr>
            <w:tcW w:w="1201" w:type="pct"/>
            <w:vAlign w:val="center"/>
          </w:tcPr>
          <w:p w14:paraId="5AE08999" w14:textId="77777777" w:rsidR="004D5364" w:rsidRPr="00733367" w:rsidRDefault="004D5364" w:rsidP="00733367">
            <w:pPr>
              <w:rPr>
                <w:rFonts w:ascii="华文楷体" w:eastAsia="华文楷体" w:hAnsi="华文楷体"/>
                <w:b/>
                <w:sz w:val="21"/>
                <w:szCs w:val="21"/>
              </w:rPr>
            </w:pPr>
          </w:p>
        </w:tc>
      </w:tr>
      <w:tr w:rsidR="004D5364" w:rsidRPr="00733367" w14:paraId="4856F9A4" w14:textId="77777777" w:rsidTr="004D5364">
        <w:trPr>
          <w:trHeight w:val="640"/>
        </w:trPr>
        <w:tc>
          <w:tcPr>
            <w:tcW w:w="751" w:type="pct"/>
            <w:vAlign w:val="center"/>
          </w:tcPr>
          <w:p w14:paraId="1F4483D2" w14:textId="77777777" w:rsidR="004D5364" w:rsidRPr="00733367" w:rsidRDefault="004D5364" w:rsidP="00733367">
            <w:pPr>
              <w:rPr>
                <w:rFonts w:ascii="华文楷体" w:eastAsia="华文楷体" w:hAnsi="华文楷体"/>
                <w:b/>
                <w:sz w:val="21"/>
                <w:szCs w:val="21"/>
              </w:rPr>
            </w:pPr>
          </w:p>
        </w:tc>
        <w:tc>
          <w:tcPr>
            <w:tcW w:w="1382" w:type="pct"/>
            <w:vAlign w:val="center"/>
          </w:tcPr>
          <w:p w14:paraId="2281C876" w14:textId="77777777" w:rsidR="004D5364" w:rsidRPr="00733367" w:rsidRDefault="004D5364" w:rsidP="00733367">
            <w:pPr>
              <w:rPr>
                <w:rFonts w:ascii="华文楷体" w:eastAsia="华文楷体" w:hAnsi="华文楷体"/>
                <w:b/>
                <w:sz w:val="21"/>
                <w:szCs w:val="21"/>
              </w:rPr>
            </w:pPr>
          </w:p>
        </w:tc>
        <w:tc>
          <w:tcPr>
            <w:tcW w:w="833" w:type="pct"/>
            <w:vAlign w:val="center"/>
          </w:tcPr>
          <w:p w14:paraId="1C1A7BCF"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67F4210B" w14:textId="5907D245" w:rsidR="004D5364" w:rsidRPr="00733367" w:rsidRDefault="004D5364" w:rsidP="00733367">
            <w:pPr>
              <w:rPr>
                <w:rFonts w:ascii="华文楷体" w:eastAsia="华文楷体" w:hAnsi="华文楷体"/>
                <w:b/>
                <w:sz w:val="21"/>
                <w:szCs w:val="21"/>
              </w:rPr>
            </w:pPr>
          </w:p>
        </w:tc>
        <w:tc>
          <w:tcPr>
            <w:tcW w:w="1201" w:type="pct"/>
            <w:vAlign w:val="center"/>
          </w:tcPr>
          <w:p w14:paraId="62BB5920" w14:textId="77777777" w:rsidR="004D5364" w:rsidRPr="00733367" w:rsidRDefault="004D5364" w:rsidP="00733367">
            <w:pPr>
              <w:rPr>
                <w:rFonts w:ascii="华文楷体" w:eastAsia="华文楷体" w:hAnsi="华文楷体"/>
                <w:b/>
                <w:sz w:val="21"/>
                <w:szCs w:val="21"/>
              </w:rPr>
            </w:pPr>
          </w:p>
        </w:tc>
      </w:tr>
    </w:tbl>
    <w:bookmarkEnd w:id="2"/>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77FE3453" w14:textId="77777777" w:rsidR="002218A9" w:rsidRPr="002218A9" w:rsidRDefault="002218A9" w:rsidP="002218A9">
      <w:pPr>
        <w:ind w:firstLineChars="300" w:firstLine="630"/>
        <w:rPr>
          <w:rFonts w:ascii="华文楷体" w:eastAsia="华文楷体" w:hAnsi="华文楷体"/>
          <w:szCs w:val="21"/>
        </w:rPr>
      </w:pPr>
      <w:r w:rsidRPr="002218A9">
        <w:rPr>
          <w:rFonts w:ascii="华文楷体" w:eastAsia="华文楷体" w:hAnsi="华文楷体" w:hint="eastAsia"/>
          <w:szCs w:val="21"/>
        </w:rPr>
        <w:t>2.“报价”：外送检测服务费占浙江省医疗服务价格收费标准的百分比。外送检测服务费的收取具体为：外送检测服务费=外送检验项目医院收入×投价。外送检测服务费包括但不限于样本采集、运输服务，配套车辆设备，配备服务人员，售后服务，质量监控信息，外送标本检测成本等完成本项目所产生的一切费用，医院除外送检测服务费，不再另外支付任何其他费用；</w:t>
      </w:r>
    </w:p>
    <w:p w14:paraId="6CA9044C" w14:textId="6E2A5BFF" w:rsidR="00CF657E" w:rsidRPr="00D64645" w:rsidRDefault="002218A9" w:rsidP="002218A9">
      <w:pPr>
        <w:ind w:firstLineChars="300" w:firstLine="630"/>
        <w:rPr>
          <w:rFonts w:ascii="华文楷体" w:eastAsia="华文楷体" w:hAnsi="华文楷体"/>
          <w:sz w:val="20"/>
          <w:szCs w:val="21"/>
        </w:rPr>
      </w:pPr>
      <w:r w:rsidRPr="002218A9">
        <w:rPr>
          <w:rFonts w:ascii="华文楷体" w:eastAsia="华文楷体" w:hAnsi="华文楷体" w:hint="eastAsia"/>
          <w:szCs w:val="21"/>
        </w:rPr>
        <w:t>3.合同期内医疗服务价格收费标准的调整：如收费标准上浮，按原收费标准×报价执行；如收费标准下降，</w:t>
      </w:r>
      <w:proofErr w:type="gramStart"/>
      <w:r w:rsidRPr="002218A9">
        <w:rPr>
          <w:rFonts w:ascii="华文楷体" w:eastAsia="华文楷体" w:hAnsi="华文楷体" w:hint="eastAsia"/>
          <w:szCs w:val="21"/>
        </w:rPr>
        <w:t>按下降</w:t>
      </w:r>
      <w:proofErr w:type="gramEnd"/>
      <w:r w:rsidRPr="002218A9">
        <w:rPr>
          <w:rFonts w:ascii="华文楷体" w:eastAsia="华文楷体" w:hAnsi="华文楷体" w:hint="eastAsia"/>
          <w:szCs w:val="21"/>
        </w:rPr>
        <w:t>后的收费标准×报价执行。</w:t>
      </w:r>
    </w:p>
    <w:p w14:paraId="2E964E1D" w14:textId="4AFF4FD0" w:rsidR="00316F79" w:rsidRPr="00CF657E" w:rsidRDefault="00316F79">
      <w:pPr>
        <w:widowControl/>
        <w:jc w:val="left"/>
        <w:rPr>
          <w:rFonts w:ascii="华文楷体" w:eastAsia="华文楷体" w:hAnsi="华文楷体"/>
        </w:rPr>
      </w:pPr>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4735F78"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C575C" w14:textId="77777777" w:rsidR="007221E9" w:rsidRDefault="007221E9" w:rsidP="00580906">
      <w:r>
        <w:separator/>
      </w:r>
    </w:p>
  </w:endnote>
  <w:endnote w:type="continuationSeparator" w:id="0">
    <w:p w14:paraId="1E7422AD" w14:textId="77777777" w:rsidR="007221E9" w:rsidRDefault="007221E9"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7221E9">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023E7C" w:rsidRPr="00023E7C">
      <w:rPr>
        <w:noProof/>
        <w:lang w:val="zh-CN"/>
      </w:rPr>
      <w:t>1</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096F" w14:textId="77777777" w:rsidR="007221E9" w:rsidRDefault="007221E9" w:rsidP="00580906">
      <w:r>
        <w:separator/>
      </w:r>
    </w:p>
  </w:footnote>
  <w:footnote w:type="continuationSeparator" w:id="0">
    <w:p w14:paraId="4FA76044" w14:textId="77777777" w:rsidR="007221E9" w:rsidRDefault="007221E9"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3E7C"/>
    <w:rsid w:val="000266DE"/>
    <w:rsid w:val="000532D2"/>
    <w:rsid w:val="000558B5"/>
    <w:rsid w:val="0008166D"/>
    <w:rsid w:val="000936F4"/>
    <w:rsid w:val="00095F12"/>
    <w:rsid w:val="000B3372"/>
    <w:rsid w:val="000B57B0"/>
    <w:rsid w:val="000B68FF"/>
    <w:rsid w:val="000D6B7F"/>
    <w:rsid w:val="00120F69"/>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32F9B"/>
    <w:rsid w:val="0038476D"/>
    <w:rsid w:val="003956E2"/>
    <w:rsid w:val="003A710D"/>
    <w:rsid w:val="003C1F48"/>
    <w:rsid w:val="0040794D"/>
    <w:rsid w:val="00414981"/>
    <w:rsid w:val="004541B8"/>
    <w:rsid w:val="00456783"/>
    <w:rsid w:val="004950C7"/>
    <w:rsid w:val="004A663F"/>
    <w:rsid w:val="004D5364"/>
    <w:rsid w:val="004E0029"/>
    <w:rsid w:val="005023FC"/>
    <w:rsid w:val="00516292"/>
    <w:rsid w:val="00526375"/>
    <w:rsid w:val="0055731D"/>
    <w:rsid w:val="00580906"/>
    <w:rsid w:val="00590B8A"/>
    <w:rsid w:val="005A6A40"/>
    <w:rsid w:val="005B5194"/>
    <w:rsid w:val="005D3958"/>
    <w:rsid w:val="005D3D43"/>
    <w:rsid w:val="00620DC2"/>
    <w:rsid w:val="006230D1"/>
    <w:rsid w:val="00650DDB"/>
    <w:rsid w:val="00664E18"/>
    <w:rsid w:val="006830B3"/>
    <w:rsid w:val="00692EFD"/>
    <w:rsid w:val="006A43D7"/>
    <w:rsid w:val="006C312B"/>
    <w:rsid w:val="006C7057"/>
    <w:rsid w:val="006D4B4C"/>
    <w:rsid w:val="007221E9"/>
    <w:rsid w:val="0072338A"/>
    <w:rsid w:val="00724AB4"/>
    <w:rsid w:val="007258E3"/>
    <w:rsid w:val="00732932"/>
    <w:rsid w:val="00733367"/>
    <w:rsid w:val="007446CD"/>
    <w:rsid w:val="00766DEC"/>
    <w:rsid w:val="00771D26"/>
    <w:rsid w:val="00773016"/>
    <w:rsid w:val="00782C11"/>
    <w:rsid w:val="00791789"/>
    <w:rsid w:val="007A6386"/>
    <w:rsid w:val="007A6DAE"/>
    <w:rsid w:val="007E1404"/>
    <w:rsid w:val="008113A8"/>
    <w:rsid w:val="00812427"/>
    <w:rsid w:val="0082367E"/>
    <w:rsid w:val="008329F3"/>
    <w:rsid w:val="00833AA2"/>
    <w:rsid w:val="008369E7"/>
    <w:rsid w:val="0086056D"/>
    <w:rsid w:val="00883706"/>
    <w:rsid w:val="008B004F"/>
    <w:rsid w:val="008F788D"/>
    <w:rsid w:val="009067E0"/>
    <w:rsid w:val="00906937"/>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2418"/>
    <w:rsid w:val="00BE792F"/>
    <w:rsid w:val="00C270B8"/>
    <w:rsid w:val="00C4279C"/>
    <w:rsid w:val="00C471F9"/>
    <w:rsid w:val="00C81EE1"/>
    <w:rsid w:val="00CB4E73"/>
    <w:rsid w:val="00CC4A37"/>
    <w:rsid w:val="00CE6487"/>
    <w:rsid w:val="00CF5BA0"/>
    <w:rsid w:val="00CF657E"/>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hp</cp:lastModifiedBy>
  <cp:revision>123</cp:revision>
  <dcterms:created xsi:type="dcterms:W3CDTF">2022-01-25T01:55:00Z</dcterms:created>
  <dcterms:modified xsi:type="dcterms:W3CDTF">2025-02-03T07:53:00Z</dcterms:modified>
</cp:coreProperties>
</file>