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1030"/>
        <w:gridCol w:w="1765"/>
        <w:gridCol w:w="8376"/>
      </w:tblGrid>
      <w:tr w:rsidR="001A79D3" w14:paraId="5FB03A44" w14:textId="77777777" w:rsidTr="00EB38C2">
        <w:trPr>
          <w:trHeight w:val="604"/>
        </w:trPr>
        <w:tc>
          <w:tcPr>
            <w:tcW w:w="1251" w:type="pct"/>
            <w:gridSpan w:val="2"/>
            <w:shd w:val="clear" w:color="auto" w:fill="auto"/>
          </w:tcPr>
          <w:p w14:paraId="097EEF5A" w14:textId="77777777" w:rsidR="001A79D3" w:rsidRDefault="00EB38C2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9" w:type="pct"/>
            <w:shd w:val="clear" w:color="auto" w:fill="auto"/>
          </w:tcPr>
          <w:p w14:paraId="604E4495" w14:textId="77777777" w:rsidR="001A79D3" w:rsidRDefault="00EB38C2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微波刀</w:t>
            </w:r>
          </w:p>
        </w:tc>
      </w:tr>
      <w:tr w:rsidR="001A79D3" w14:paraId="4730B426" w14:textId="77777777" w:rsidTr="00EB38C2">
        <w:trPr>
          <w:trHeight w:val="604"/>
        </w:trPr>
        <w:tc>
          <w:tcPr>
            <w:tcW w:w="1251" w:type="pct"/>
            <w:gridSpan w:val="2"/>
            <w:shd w:val="clear" w:color="auto" w:fill="auto"/>
          </w:tcPr>
          <w:p w14:paraId="20CCD9DC" w14:textId="77777777" w:rsidR="001A79D3" w:rsidRDefault="00EB38C2"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  <w:shd w:val="clear" w:color="auto" w:fill="auto"/>
          </w:tcPr>
          <w:p w14:paraId="258C7316" w14:textId="77777777" w:rsidR="001A79D3" w:rsidRDefault="00EB38C2">
            <w:pPr>
              <w:jc w:val="center"/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手术室</w:t>
            </w:r>
          </w:p>
        </w:tc>
      </w:tr>
      <w:tr w:rsidR="001A79D3" w14:paraId="4F21E568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3A8E589D" w14:textId="77777777" w:rsidR="001A79D3" w:rsidRDefault="00EB38C2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39" w:type="pct"/>
            <w:gridSpan w:val="2"/>
            <w:shd w:val="clear" w:color="auto" w:fill="auto"/>
          </w:tcPr>
          <w:p w14:paraId="77692B76" w14:textId="77777777" w:rsidR="001A79D3" w:rsidRDefault="00EB38C2">
            <w:pPr>
              <w:ind w:rightChars="-162" w:right="-340" w:firstLineChars="1500" w:firstLine="3614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1A79D3" w14:paraId="7A0D3CAE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6D0B1674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4EE1190C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用途：在医疗机构中使用，用于外科手术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3mm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以下血管组织凝固、止血及多血实质性脏器切除。</w:t>
            </w:r>
          </w:p>
        </w:tc>
      </w:tr>
      <w:tr w:rsidR="001A79D3" w14:paraId="4BAC685F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19D3801B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560F2F85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台。</w:t>
            </w:r>
          </w:p>
        </w:tc>
      </w:tr>
      <w:tr w:rsidR="001A79D3" w14:paraId="10D57E3F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325D3362" w14:textId="77777777" w:rsidR="001A79D3" w:rsidRDefault="00EB38C2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1A5625CB" w14:textId="77777777" w:rsidR="001A79D3" w:rsidRDefault="00EB38C2">
            <w:pPr>
              <w:ind w:rightChars="-162" w:right="-340" w:firstLineChars="1300" w:firstLine="313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1A79D3" w14:paraId="3DFC2A6C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2E962ACC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4A0C0721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产品适用于儿童、婴儿。</w:t>
            </w:r>
          </w:p>
        </w:tc>
      </w:tr>
      <w:tr w:rsidR="001A79D3" w14:paraId="4C4E3F0A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3A324530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018EB3C9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满足手术中对直径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3mm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以下血管组织的凝固、止血以及多血实质性脏器切除的需求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。</w:t>
            </w:r>
          </w:p>
        </w:tc>
      </w:tr>
      <w:tr w:rsidR="001A79D3" w14:paraId="46B08AF3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609654EA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3C1A3A3A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具备手术切割和手术止血两种工作模式，以适应不同的手术需求。</w:t>
            </w:r>
          </w:p>
        </w:tc>
      </w:tr>
      <w:tr w:rsidR="001A79D3" w14:paraId="17D31BCF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54BC6E0E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1E253A5A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主机应具备指示灯和蜂鸣两种输出提示方式，以便在手术过程中及时反馈设备状态。</w:t>
            </w:r>
          </w:p>
        </w:tc>
      </w:tr>
      <w:tr w:rsidR="001A79D3" w14:paraId="38BF3095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12D85C30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371F0D4D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主机应支持手动控制和脚踏控制两种操作模式，以提供灵活的操作选择。</w:t>
            </w:r>
          </w:p>
        </w:tc>
      </w:tr>
      <w:tr w:rsidR="001A79D3" w14:paraId="052ABB9D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21081CD0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30D8AE85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主机的功率发生模式应为固态源，以确保设备的高效能和可靠性。</w:t>
            </w:r>
          </w:p>
        </w:tc>
      </w:tr>
      <w:tr w:rsidR="001A79D3" w14:paraId="36F52060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3DA404F5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79E8B3FE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微波手术刀应至少包含开放手术和腔镜手术使用的两种类型</w:t>
            </w:r>
          </w:p>
        </w:tc>
      </w:tr>
      <w:tr w:rsidR="001A79D3" w14:paraId="5AB278B8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034CCBF9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43CC8090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微波手术刀应设计为可重复使用，且使用次数应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≥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次</w:t>
            </w:r>
          </w:p>
        </w:tc>
      </w:tr>
      <w:tr w:rsidR="001A79D3" w14:paraId="7E8D17C6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061EB4F0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7E54EB38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微波手术刀应具有双面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U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型刀头</w:t>
            </w:r>
          </w:p>
        </w:tc>
      </w:tr>
      <w:tr w:rsidR="001A79D3" w14:paraId="169B1A47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34852853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1A9AB650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微波手术刀应设有钝性分离头，以便于在手术中进行钝性分离操作。</w:t>
            </w:r>
          </w:p>
        </w:tc>
      </w:tr>
      <w:tr w:rsidR="001A79D3" w14:paraId="4A72B8F1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1814243E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5249CBEA" w14:textId="77777777" w:rsidR="001A79D3" w:rsidRDefault="00EB38C2">
            <w:pPr>
              <w:ind w:rightChars="-162" w:right="-340"/>
              <w:rPr>
                <w:rFonts w:ascii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传输导线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可消毒</w:t>
            </w:r>
          </w:p>
        </w:tc>
      </w:tr>
      <w:tr w:rsidR="001A79D3" w14:paraId="43D429A6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36BD3A0D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743BC043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具有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脚踏开关</w:t>
            </w:r>
          </w:p>
        </w:tc>
      </w:tr>
      <w:tr w:rsidR="001A79D3" w14:paraId="2C2E393F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6A46C651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2B64652C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预算充足的情况下，考虑额外配置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套设备。</w:t>
            </w:r>
          </w:p>
        </w:tc>
      </w:tr>
      <w:tr w:rsidR="001A79D3" w14:paraId="6D9D0E30" w14:textId="77777777" w:rsidTr="00EB38C2">
        <w:trPr>
          <w:trHeight w:val="287"/>
        </w:trPr>
        <w:tc>
          <w:tcPr>
            <w:tcW w:w="461" w:type="pct"/>
            <w:shd w:val="clear" w:color="auto" w:fill="auto"/>
          </w:tcPr>
          <w:p w14:paraId="4FF3356E" w14:textId="77777777" w:rsidR="001A79D3" w:rsidRDefault="00EB38C2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0D8894C6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                                 </w:t>
            </w: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1A79D3" w14:paraId="7FCCEA48" w14:textId="77777777" w:rsidTr="00EB38C2">
        <w:trPr>
          <w:trHeight w:val="308"/>
        </w:trPr>
        <w:tc>
          <w:tcPr>
            <w:tcW w:w="461" w:type="pct"/>
            <w:shd w:val="clear" w:color="auto" w:fill="auto"/>
          </w:tcPr>
          <w:p w14:paraId="08730997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12F10FAB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微波治疗仪主机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1A79D3" w14:paraId="40322DE8" w14:textId="77777777" w:rsidTr="00EB38C2">
        <w:trPr>
          <w:trHeight w:val="308"/>
        </w:trPr>
        <w:tc>
          <w:tcPr>
            <w:tcW w:w="461" w:type="pct"/>
            <w:shd w:val="clear" w:color="auto" w:fill="auto"/>
          </w:tcPr>
          <w:p w14:paraId="0F11C9A9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29DA0032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微波手术刀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把</w:t>
            </w:r>
          </w:p>
        </w:tc>
      </w:tr>
      <w:tr w:rsidR="001A79D3" w14:paraId="282C3D3E" w14:textId="77777777" w:rsidTr="00EB38C2">
        <w:trPr>
          <w:trHeight w:val="308"/>
        </w:trPr>
        <w:tc>
          <w:tcPr>
            <w:tcW w:w="461" w:type="pct"/>
            <w:shd w:val="clear" w:color="auto" w:fill="auto"/>
          </w:tcPr>
          <w:p w14:paraId="296ADC90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3BF13D79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传输导线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根</w:t>
            </w:r>
          </w:p>
        </w:tc>
      </w:tr>
      <w:tr w:rsidR="001A79D3" w14:paraId="34A4F3BC" w14:textId="77777777" w:rsidTr="00EB38C2">
        <w:trPr>
          <w:trHeight w:val="308"/>
        </w:trPr>
        <w:tc>
          <w:tcPr>
            <w:tcW w:w="461" w:type="pct"/>
            <w:shd w:val="clear" w:color="auto" w:fill="auto"/>
          </w:tcPr>
          <w:p w14:paraId="448C1074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27DA8F11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脚踏开关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个</w:t>
            </w:r>
            <w:proofErr w:type="gramEnd"/>
          </w:p>
        </w:tc>
      </w:tr>
      <w:tr w:rsidR="001A79D3" w14:paraId="00650039" w14:textId="77777777" w:rsidTr="00EB38C2">
        <w:trPr>
          <w:trHeight w:val="308"/>
        </w:trPr>
        <w:tc>
          <w:tcPr>
            <w:tcW w:w="461" w:type="pct"/>
            <w:shd w:val="clear" w:color="auto" w:fill="auto"/>
          </w:tcPr>
          <w:p w14:paraId="4603B284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7926BE33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（增配）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微波治疗仪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套</w:t>
            </w:r>
          </w:p>
        </w:tc>
      </w:tr>
      <w:tr w:rsidR="001A79D3" w14:paraId="3510CEB4" w14:textId="77777777" w:rsidTr="00EB38C2">
        <w:trPr>
          <w:trHeight w:val="308"/>
        </w:trPr>
        <w:tc>
          <w:tcPr>
            <w:tcW w:w="461" w:type="pct"/>
            <w:shd w:val="clear" w:color="auto" w:fill="auto"/>
          </w:tcPr>
          <w:p w14:paraId="4FDD3289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6F6C7F5E" w14:textId="77777777" w:rsidR="001A79D3" w:rsidRDefault="00EB38C2">
            <w:pPr>
              <w:ind w:rightChars="-162" w:right="-340" w:firstLineChars="1700" w:firstLine="4096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1A79D3" w14:paraId="2276B1BA" w14:textId="77777777" w:rsidTr="00EB38C2">
        <w:trPr>
          <w:trHeight w:val="308"/>
        </w:trPr>
        <w:tc>
          <w:tcPr>
            <w:tcW w:w="461" w:type="pct"/>
          </w:tcPr>
          <w:p w14:paraId="45C72A73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39" w:type="pct"/>
            <w:gridSpan w:val="2"/>
          </w:tcPr>
          <w:p w14:paraId="4BF3B875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3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1A79D3" w14:paraId="18905C16" w14:textId="77777777" w:rsidTr="00EB38C2">
        <w:trPr>
          <w:trHeight w:val="308"/>
        </w:trPr>
        <w:tc>
          <w:tcPr>
            <w:tcW w:w="461" w:type="pct"/>
          </w:tcPr>
          <w:p w14:paraId="4ECF50F2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39" w:type="pct"/>
            <w:gridSpan w:val="2"/>
          </w:tcPr>
          <w:p w14:paraId="04657750" w14:textId="77777777" w:rsidR="001A79D3" w:rsidRDefault="00EB38C2">
            <w:pPr>
              <w:ind w:rightChars="19" w:right="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如属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医院强检、非强检目录内的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设备，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中标方需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提供经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医院</w:t>
            </w: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认可的具有资质的检测机构出具的检测合格报告，检测费用包含在合同总价中</w:t>
            </w:r>
          </w:p>
        </w:tc>
      </w:tr>
      <w:tr w:rsidR="001A79D3" w14:paraId="0EA7E65E" w14:textId="77777777" w:rsidTr="00EB38C2">
        <w:trPr>
          <w:trHeight w:val="308"/>
        </w:trPr>
        <w:tc>
          <w:tcPr>
            <w:tcW w:w="461" w:type="pct"/>
          </w:tcPr>
          <w:p w14:paraId="7D928CE4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39" w:type="pct"/>
            <w:gridSpan w:val="2"/>
          </w:tcPr>
          <w:p w14:paraId="46580406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中标方</w:t>
            </w:r>
            <w:r>
              <w:rPr>
                <w:rFonts w:ascii="宋体" w:hAnsi="宋体" w:cs="宋体" w:hint="eastAsia"/>
                <w:sz w:val="24"/>
                <w:szCs w:val="24"/>
              </w:rPr>
              <w:t>提供设备联网数据接口类型及协议，并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</w:t>
            </w:r>
            <w:r>
              <w:rPr>
                <w:rFonts w:ascii="宋体" w:hAnsi="宋体" w:cs="宋体" w:hint="eastAsia"/>
                <w:sz w:val="24"/>
                <w:szCs w:val="24"/>
              </w:rPr>
              <w:t>完成设备与医院网络的互联互通（如需）</w:t>
            </w:r>
          </w:p>
        </w:tc>
      </w:tr>
      <w:tr w:rsidR="001A79D3" w14:paraId="1B020241" w14:textId="77777777" w:rsidTr="00EB38C2">
        <w:trPr>
          <w:trHeight w:val="308"/>
        </w:trPr>
        <w:tc>
          <w:tcPr>
            <w:tcW w:w="461" w:type="pct"/>
          </w:tcPr>
          <w:p w14:paraId="53123463" w14:textId="77777777" w:rsidR="001A79D3" w:rsidRDefault="00EB38C2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39" w:type="pct"/>
            <w:gridSpan w:val="2"/>
          </w:tcPr>
          <w:p w14:paraId="5A02B1D8" w14:textId="77777777" w:rsidR="001A79D3" w:rsidRDefault="00EB38C2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其他：</w:t>
            </w:r>
          </w:p>
        </w:tc>
      </w:tr>
    </w:tbl>
    <w:p w14:paraId="49C0A430" w14:textId="77777777" w:rsidR="001A79D3" w:rsidRDefault="001A79D3">
      <w:pPr>
        <w:spacing w:line="360" w:lineRule="auto"/>
        <w:rPr>
          <w:sz w:val="24"/>
          <w:szCs w:val="24"/>
          <w:u w:val="single"/>
        </w:rPr>
      </w:pPr>
      <w:bookmarkStart w:id="0" w:name="_GoBack"/>
      <w:bookmarkEnd w:id="0"/>
    </w:p>
    <w:sectPr w:rsidR="001A79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0ZGRiYTRiMWExMDNkMzFjY2IzOTdmMzc1ZjZhYmQifQ=="/>
  </w:docVars>
  <w:rsids>
    <w:rsidRoot w:val="7B28549C"/>
    <w:rsid w:val="001A79D3"/>
    <w:rsid w:val="00EB38C2"/>
    <w:rsid w:val="06CC6306"/>
    <w:rsid w:val="07A70F85"/>
    <w:rsid w:val="099077F7"/>
    <w:rsid w:val="0A92679B"/>
    <w:rsid w:val="0B876571"/>
    <w:rsid w:val="0BAF7258"/>
    <w:rsid w:val="0F2C1D70"/>
    <w:rsid w:val="10477E7E"/>
    <w:rsid w:val="1ADC4941"/>
    <w:rsid w:val="208E5D79"/>
    <w:rsid w:val="24303C58"/>
    <w:rsid w:val="26651C51"/>
    <w:rsid w:val="28331C1B"/>
    <w:rsid w:val="2EE34571"/>
    <w:rsid w:val="30572F78"/>
    <w:rsid w:val="336D3506"/>
    <w:rsid w:val="34480AEF"/>
    <w:rsid w:val="38A03D8B"/>
    <w:rsid w:val="397F500E"/>
    <w:rsid w:val="40000B87"/>
    <w:rsid w:val="443B2CEC"/>
    <w:rsid w:val="44C578EC"/>
    <w:rsid w:val="4A946440"/>
    <w:rsid w:val="4AFB588F"/>
    <w:rsid w:val="4F361873"/>
    <w:rsid w:val="5118618C"/>
    <w:rsid w:val="59CE33A8"/>
    <w:rsid w:val="5A6076D7"/>
    <w:rsid w:val="5BB87046"/>
    <w:rsid w:val="5F7056A6"/>
    <w:rsid w:val="61386D43"/>
    <w:rsid w:val="663336A5"/>
    <w:rsid w:val="66D23DE2"/>
    <w:rsid w:val="67212ADF"/>
    <w:rsid w:val="69DB0917"/>
    <w:rsid w:val="6E873EA7"/>
    <w:rsid w:val="70326D5C"/>
    <w:rsid w:val="72901CD2"/>
    <w:rsid w:val="73691968"/>
    <w:rsid w:val="7B28549C"/>
    <w:rsid w:val="7B41219D"/>
    <w:rsid w:val="7BD96243"/>
    <w:rsid w:val="7FA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2</cp:revision>
  <dcterms:created xsi:type="dcterms:W3CDTF">2023-10-19T02:31:00Z</dcterms:created>
  <dcterms:modified xsi:type="dcterms:W3CDTF">2025-02-04T04:07:00Z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6E607A06DDDC438B844E9E3BB40909E5_13</vt:lpwstr>
  </property>
  <property fmtid="{D5CDD505-2E9C-101B-9397-08002B2CF9AE}" pid="4" name="KSOTemplateDocerSaveRecord">
    <vt:lpwstr>eyJoZGlkIjoiZTY0ZGRiYTRiMWExMDNkMzFjY2IzOTdmMzc1ZjZhYmQiLCJ1c2VySWQiOiI5NjY0ODI2MTIifQ==</vt:lpwstr>
  </property>
</Properties>
</file>