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9E81C" w14:textId="77777777" w:rsidR="00FE61EC" w:rsidRDefault="004A254B">
      <w:pPr>
        <w:pStyle w:val="1"/>
        <w:snapToGrid w:val="0"/>
        <w:spacing w:before="0" w:after="0" w:line="400" w:lineRule="exact"/>
        <w:rPr>
          <w:rFonts w:asciiTheme="majorEastAsia" w:eastAsiaTheme="majorEastAsia" w:hAnsiTheme="majorEastAsia"/>
          <w:color w:val="000000"/>
          <w:sz w:val="32"/>
        </w:rPr>
      </w:pPr>
      <w:r>
        <w:rPr>
          <w:rFonts w:asciiTheme="majorEastAsia" w:eastAsiaTheme="majorEastAsia" w:hAnsiTheme="majorEastAsia" w:hint="eastAsia"/>
          <w:color w:val="000000"/>
          <w:sz w:val="32"/>
        </w:rPr>
        <w:t>莫干山院区</w:t>
      </w:r>
      <w:r>
        <w:rPr>
          <w:rFonts w:asciiTheme="majorEastAsia" w:eastAsiaTheme="majorEastAsia" w:hAnsiTheme="majorEastAsia" w:hint="eastAsia"/>
          <w:color w:val="000000"/>
          <w:sz w:val="32"/>
        </w:rPr>
        <w:t>次氯酸钠消毒液</w:t>
      </w:r>
      <w:r>
        <w:rPr>
          <w:rFonts w:asciiTheme="majorEastAsia" w:eastAsiaTheme="majorEastAsia" w:hAnsiTheme="majorEastAsia" w:hint="eastAsia"/>
          <w:color w:val="000000"/>
          <w:sz w:val="32"/>
        </w:rPr>
        <w:t>采购需求</w:t>
      </w:r>
    </w:p>
    <w:p w14:paraId="64A04191"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一、总体要求</w:t>
      </w:r>
    </w:p>
    <w:p w14:paraId="73A50581" w14:textId="77777777" w:rsidR="00FE61EC" w:rsidRDefault="004A254B">
      <w:pPr>
        <w:spacing w:line="400" w:lineRule="exact"/>
        <w:jc w:val="left"/>
        <w:rPr>
          <w:rFonts w:asciiTheme="majorEastAsia" w:eastAsiaTheme="majorEastAsia" w:hAnsiTheme="majorEastAsia"/>
          <w:szCs w:val="21"/>
        </w:rPr>
      </w:pPr>
      <w:r>
        <w:rPr>
          <w:rFonts w:asciiTheme="majorEastAsia" w:eastAsiaTheme="majorEastAsia" w:hAnsiTheme="majorEastAsia" w:hint="eastAsia"/>
        </w:rPr>
        <w:t>1</w:t>
      </w:r>
      <w:r>
        <w:rPr>
          <w:rFonts w:asciiTheme="majorEastAsia" w:eastAsiaTheme="majorEastAsia" w:hAnsiTheme="majorEastAsia" w:hint="eastAsia"/>
        </w:rPr>
        <w:t>、</w:t>
      </w:r>
      <w:r>
        <w:rPr>
          <w:rFonts w:asciiTheme="majorEastAsia" w:eastAsiaTheme="majorEastAsia" w:hAnsiTheme="majorEastAsia"/>
          <w:szCs w:val="21"/>
        </w:rPr>
        <w:t>污水处理用次氯酸钠</w:t>
      </w:r>
      <w:r>
        <w:rPr>
          <w:rFonts w:asciiTheme="majorEastAsia" w:eastAsiaTheme="majorEastAsia" w:hAnsiTheme="majorEastAsia" w:hint="eastAsia"/>
          <w:szCs w:val="21"/>
        </w:rPr>
        <w:t>，预估</w:t>
      </w:r>
      <w:r>
        <w:rPr>
          <w:rFonts w:asciiTheme="majorEastAsia" w:eastAsiaTheme="majorEastAsia" w:hAnsiTheme="majorEastAsia" w:hint="eastAsia"/>
          <w:szCs w:val="21"/>
        </w:rPr>
        <w:t>750</w:t>
      </w:r>
      <w:r>
        <w:rPr>
          <w:rFonts w:asciiTheme="majorEastAsia" w:eastAsiaTheme="majorEastAsia" w:hAnsiTheme="majorEastAsia"/>
          <w:szCs w:val="21"/>
        </w:rPr>
        <w:t>吨</w:t>
      </w:r>
      <w:r>
        <w:rPr>
          <w:rFonts w:asciiTheme="majorEastAsia" w:eastAsiaTheme="majorEastAsia" w:hAnsiTheme="majorEastAsia" w:hint="eastAsia"/>
          <w:szCs w:val="21"/>
        </w:rPr>
        <w:t>，供货期</w:t>
      </w:r>
      <w:r>
        <w:rPr>
          <w:rFonts w:asciiTheme="majorEastAsia" w:eastAsiaTheme="majorEastAsia" w:hAnsiTheme="majorEastAsia" w:hint="eastAsia"/>
          <w:szCs w:val="21"/>
        </w:rPr>
        <w:t>3</w:t>
      </w:r>
      <w:r>
        <w:rPr>
          <w:rFonts w:asciiTheme="majorEastAsia" w:eastAsiaTheme="majorEastAsia" w:hAnsiTheme="majorEastAsia" w:hint="eastAsia"/>
          <w:szCs w:val="21"/>
        </w:rPr>
        <w:t>年。</w:t>
      </w:r>
    </w:p>
    <w:p w14:paraId="55118368" w14:textId="77777777" w:rsidR="00FE61EC" w:rsidRDefault="004A254B" w:rsidP="0046340B">
      <w:pPr>
        <w:pStyle w:val="a0"/>
      </w:pPr>
      <w:r>
        <w:rPr>
          <w:rFonts w:hint="eastAsia"/>
        </w:rPr>
        <w:t>2.</w:t>
      </w:r>
      <w:r>
        <w:rPr>
          <w:rFonts w:hint="eastAsia"/>
        </w:rPr>
        <w:t>、货物运输至正常使用所产生的一切费用由供应商承担。</w:t>
      </w:r>
    </w:p>
    <w:p w14:paraId="23E9FC9B" w14:textId="77777777" w:rsidR="00FE61EC" w:rsidRDefault="004A254B" w:rsidP="0046340B">
      <w:pPr>
        <w:pStyle w:val="a0"/>
      </w:pPr>
      <w:r>
        <w:rPr>
          <w:rFonts w:hint="eastAsia"/>
        </w:rPr>
        <w:t>3</w:t>
      </w:r>
      <w:r>
        <w:rPr>
          <w:rFonts w:hint="eastAsia"/>
        </w:rPr>
        <w:t>、所供货物的参数和服务符合医院使用需求。</w:t>
      </w:r>
    </w:p>
    <w:p w14:paraId="17A43EA2" w14:textId="193D4AFE" w:rsidR="00FE61EC" w:rsidRDefault="004A254B" w:rsidP="0046340B">
      <w:pPr>
        <w:pStyle w:val="a0"/>
      </w:pPr>
      <w:r>
        <w:rPr>
          <w:rFonts w:hint="eastAsia"/>
        </w:rPr>
        <w:t>二、技术要求（</w:t>
      </w:r>
      <w:bookmarkStart w:id="0" w:name="OLE_LINK3"/>
      <w:r>
        <w:rPr>
          <w:rFonts w:hint="eastAsia"/>
        </w:rPr>
        <w:t>备注：</w:t>
      </w:r>
      <w:bookmarkEnd w:id="0"/>
      <w:r w:rsidR="00465B3B" w:rsidRPr="00465B3B">
        <w:rPr>
          <w:rFonts w:hint="eastAsia"/>
        </w:rPr>
        <w:t>△</w:t>
      </w:r>
      <w:r>
        <w:rPr>
          <w:rFonts w:hint="eastAsia"/>
        </w:rPr>
        <w:t>为重要项参数）</w:t>
      </w:r>
    </w:p>
    <w:p w14:paraId="63CA8E13" w14:textId="23534BD6" w:rsidR="00FE61EC" w:rsidRDefault="00465B3B">
      <w:pPr>
        <w:spacing w:line="400" w:lineRule="exact"/>
        <w:rPr>
          <w:rFonts w:asciiTheme="majorEastAsia" w:eastAsiaTheme="majorEastAsia" w:hAnsiTheme="majorEastAsia"/>
        </w:rPr>
      </w:pPr>
      <w:r w:rsidRPr="00465B3B">
        <w:rPr>
          <w:rFonts w:hint="eastAsia"/>
        </w:rPr>
        <w:t>△</w:t>
      </w:r>
      <w:r w:rsidR="004A254B">
        <w:rPr>
          <w:rFonts w:asciiTheme="majorEastAsia" w:eastAsiaTheme="majorEastAsia" w:hAnsiTheme="majorEastAsia" w:hint="eastAsia"/>
        </w:rPr>
        <w:t>1</w:t>
      </w:r>
      <w:r w:rsidR="004A254B">
        <w:rPr>
          <w:rFonts w:asciiTheme="majorEastAsia" w:eastAsiaTheme="majorEastAsia" w:hAnsiTheme="majorEastAsia" w:hint="eastAsia"/>
        </w:rPr>
        <w:t>、次氯酸钠为主要成分</w:t>
      </w:r>
      <w:bookmarkStart w:id="1" w:name="OLE_LINK1"/>
      <w:bookmarkStart w:id="2" w:name="OLE_LINK2"/>
      <w:r w:rsidR="004A254B">
        <w:rPr>
          <w:rFonts w:asciiTheme="majorEastAsia" w:eastAsiaTheme="majorEastAsia" w:hAnsiTheme="majorEastAsia" w:hint="eastAsia"/>
        </w:rPr>
        <w:t>消毒液</w:t>
      </w:r>
      <w:bookmarkEnd w:id="1"/>
      <w:bookmarkEnd w:id="2"/>
      <w:r w:rsidR="004A254B">
        <w:rPr>
          <w:rFonts w:asciiTheme="majorEastAsia" w:eastAsiaTheme="majorEastAsia" w:hAnsiTheme="majorEastAsia" w:hint="eastAsia"/>
        </w:rPr>
        <w:t>，符合</w:t>
      </w:r>
      <w:r w:rsidR="004A254B">
        <w:rPr>
          <w:rFonts w:asciiTheme="majorEastAsia" w:eastAsiaTheme="majorEastAsia" w:hAnsiTheme="majorEastAsia" w:hint="eastAsia"/>
        </w:rPr>
        <w:t>GB 19106-2013</w:t>
      </w:r>
      <w:r w:rsidR="004A254B">
        <w:rPr>
          <w:rFonts w:asciiTheme="majorEastAsia" w:eastAsiaTheme="majorEastAsia" w:hAnsiTheme="majorEastAsia" w:hint="eastAsia"/>
        </w:rPr>
        <w:t>所规定的</w:t>
      </w:r>
      <w:r w:rsidR="004A254B">
        <w:rPr>
          <w:rFonts w:asciiTheme="majorEastAsia" w:eastAsiaTheme="majorEastAsia" w:hAnsiTheme="majorEastAsia" w:hint="eastAsia"/>
        </w:rPr>
        <w:t>A</w:t>
      </w:r>
      <w:r w:rsidR="004A254B">
        <w:rPr>
          <w:rFonts w:asciiTheme="majorEastAsia" w:eastAsiaTheme="majorEastAsia" w:hAnsiTheme="majorEastAsia" w:hint="eastAsia"/>
        </w:rPr>
        <w:t>型次氯酸钠Ⅱ号（仅适用于消毒杀菌水处理等用途）；</w:t>
      </w:r>
    </w:p>
    <w:p w14:paraId="27CD0A55" w14:textId="52A02462" w:rsidR="00FE61EC" w:rsidRDefault="00465B3B">
      <w:pPr>
        <w:spacing w:line="400" w:lineRule="exact"/>
        <w:rPr>
          <w:rFonts w:asciiTheme="majorEastAsia" w:eastAsiaTheme="majorEastAsia" w:hAnsiTheme="majorEastAsia"/>
        </w:rPr>
      </w:pPr>
      <w:r w:rsidRPr="00465B3B">
        <w:rPr>
          <w:rFonts w:hint="eastAsia"/>
        </w:rPr>
        <w:t>△</w:t>
      </w:r>
      <w:r w:rsidR="004A254B">
        <w:rPr>
          <w:rFonts w:asciiTheme="majorEastAsia" w:eastAsiaTheme="majorEastAsia" w:hAnsiTheme="majorEastAsia" w:hint="eastAsia"/>
        </w:rPr>
        <w:t>2</w:t>
      </w:r>
      <w:r w:rsidR="004A254B">
        <w:rPr>
          <w:rFonts w:asciiTheme="majorEastAsia" w:eastAsiaTheme="majorEastAsia" w:hAnsiTheme="majorEastAsia" w:hint="eastAsia"/>
        </w:rPr>
        <w:t>、有效氯含量最低不得低于</w:t>
      </w:r>
      <w:r w:rsidR="004A254B">
        <w:rPr>
          <w:rFonts w:asciiTheme="majorEastAsia" w:eastAsiaTheme="majorEastAsia" w:hAnsiTheme="majorEastAsia" w:hint="eastAsia"/>
        </w:rPr>
        <w:t>10%</w:t>
      </w:r>
      <w:r w:rsidR="004A254B">
        <w:rPr>
          <w:rFonts w:asciiTheme="majorEastAsia" w:eastAsiaTheme="majorEastAsia" w:hAnsiTheme="majorEastAsia" w:hint="eastAsia"/>
        </w:rPr>
        <w:t>（</w:t>
      </w:r>
      <w:r w:rsidR="004A254B">
        <w:rPr>
          <w:rFonts w:asciiTheme="majorEastAsia" w:eastAsiaTheme="majorEastAsia" w:hAnsiTheme="majorEastAsia" w:hint="eastAsia"/>
        </w:rPr>
        <w:t>A</w:t>
      </w:r>
      <w:r w:rsidR="004A254B">
        <w:rPr>
          <w:rFonts w:asciiTheme="majorEastAsia" w:eastAsiaTheme="majorEastAsia" w:hAnsiTheme="majorEastAsia" w:hint="eastAsia"/>
        </w:rPr>
        <w:t>型Ⅱ号</w:t>
      </w:r>
      <w:r w:rsidR="004A254B">
        <w:rPr>
          <w:rFonts w:asciiTheme="majorEastAsia" w:eastAsiaTheme="majorEastAsia" w:hAnsiTheme="majorEastAsia" w:hint="eastAsia"/>
        </w:rPr>
        <w:t>-GB19106-2013</w:t>
      </w:r>
      <w:r w:rsidR="004A254B">
        <w:rPr>
          <w:rFonts w:asciiTheme="majorEastAsia" w:eastAsiaTheme="majorEastAsia" w:hAnsiTheme="majorEastAsia" w:hint="eastAsia"/>
        </w:rPr>
        <w:t>）；</w:t>
      </w:r>
    </w:p>
    <w:p w14:paraId="49DDFFD5"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、游离碱、铁、砷、重金属等含量符合</w:t>
      </w:r>
      <w:r>
        <w:rPr>
          <w:rFonts w:asciiTheme="majorEastAsia" w:eastAsiaTheme="majorEastAsia" w:hAnsiTheme="majorEastAsia" w:hint="eastAsia"/>
        </w:rPr>
        <w:t>GB19106-2013</w:t>
      </w:r>
      <w:r>
        <w:rPr>
          <w:rFonts w:asciiTheme="majorEastAsia" w:eastAsiaTheme="majorEastAsia" w:hAnsiTheme="majorEastAsia" w:hint="eastAsia"/>
        </w:rPr>
        <w:t>相应标准；</w:t>
      </w:r>
    </w:p>
    <w:p w14:paraId="652BB71F"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hint="eastAsia"/>
        </w:rPr>
        <w:t>、稳定性：常温避光储存</w:t>
      </w:r>
      <w:r>
        <w:rPr>
          <w:rFonts w:asciiTheme="majorEastAsia" w:eastAsiaTheme="majorEastAsia" w:hAnsiTheme="majorEastAsia" w:hint="eastAsia"/>
        </w:rPr>
        <w:t>1</w:t>
      </w:r>
      <w:r>
        <w:rPr>
          <w:rFonts w:asciiTheme="majorEastAsia" w:eastAsiaTheme="majorEastAsia" w:hAnsiTheme="majorEastAsia" w:hint="eastAsia"/>
        </w:rPr>
        <w:t>周内有效氯含量不低于</w:t>
      </w:r>
      <w:r>
        <w:rPr>
          <w:rFonts w:asciiTheme="majorEastAsia" w:eastAsiaTheme="majorEastAsia" w:hAnsiTheme="majorEastAsia" w:hint="eastAsia"/>
        </w:rPr>
        <w:t>9%</w:t>
      </w:r>
      <w:r>
        <w:rPr>
          <w:rFonts w:asciiTheme="majorEastAsia" w:eastAsiaTheme="majorEastAsia" w:hAnsiTheme="majorEastAsia" w:hint="eastAsia"/>
        </w:rPr>
        <w:t>；</w:t>
      </w:r>
    </w:p>
    <w:p w14:paraId="2A66AFC5" w14:textId="7F353BB2" w:rsidR="00FE61EC" w:rsidRDefault="00465B3B">
      <w:pPr>
        <w:spacing w:line="400" w:lineRule="exact"/>
        <w:rPr>
          <w:rFonts w:asciiTheme="majorEastAsia" w:eastAsiaTheme="majorEastAsia" w:hAnsiTheme="majorEastAsia"/>
        </w:rPr>
      </w:pPr>
      <w:r w:rsidRPr="00465B3B">
        <w:rPr>
          <w:rFonts w:hint="eastAsia"/>
        </w:rPr>
        <w:t>△</w:t>
      </w:r>
      <w:r w:rsidR="004A254B">
        <w:rPr>
          <w:rFonts w:asciiTheme="majorEastAsia" w:eastAsiaTheme="majorEastAsia" w:hAnsiTheme="majorEastAsia" w:hint="eastAsia"/>
        </w:rPr>
        <w:t>5</w:t>
      </w:r>
      <w:r w:rsidR="004A254B">
        <w:rPr>
          <w:rFonts w:asciiTheme="majorEastAsia" w:eastAsiaTheme="majorEastAsia" w:hAnsiTheme="majorEastAsia" w:hint="eastAsia"/>
        </w:rPr>
        <w:t>、溶液的成分需出具第三方检测报告复印件，检测报告必须为医院污水的消毒范围；</w:t>
      </w:r>
    </w:p>
    <w:p w14:paraId="0A2F5167" w14:textId="0E040AC7" w:rsidR="00FE61EC" w:rsidRDefault="00465B3B">
      <w:pPr>
        <w:spacing w:line="400" w:lineRule="exact"/>
        <w:rPr>
          <w:rFonts w:asciiTheme="majorEastAsia" w:eastAsiaTheme="majorEastAsia" w:hAnsiTheme="majorEastAsia"/>
        </w:rPr>
      </w:pPr>
      <w:r w:rsidRPr="00465B3B">
        <w:rPr>
          <w:rFonts w:hint="eastAsia"/>
        </w:rPr>
        <w:t>△</w:t>
      </w:r>
      <w:r w:rsidR="004A254B">
        <w:rPr>
          <w:rFonts w:asciiTheme="majorEastAsia" w:eastAsiaTheme="majorEastAsia" w:hAnsiTheme="majorEastAsia" w:hint="eastAsia"/>
        </w:rPr>
        <w:t>6</w:t>
      </w:r>
      <w:r w:rsidR="004A254B">
        <w:rPr>
          <w:rFonts w:asciiTheme="majorEastAsia" w:eastAsiaTheme="majorEastAsia" w:hAnsiTheme="majorEastAsia" w:hint="eastAsia"/>
        </w:rPr>
        <w:t>、溶液需符合目前医院在用的投放设备</w:t>
      </w:r>
      <w:r w:rsidR="004A254B">
        <w:rPr>
          <w:rFonts w:asciiTheme="majorEastAsia" w:eastAsiaTheme="majorEastAsia" w:hAnsiTheme="majorEastAsia" w:hint="eastAsia"/>
        </w:rPr>
        <w:t>(</w:t>
      </w:r>
      <w:r w:rsidR="004A254B">
        <w:rPr>
          <w:rFonts w:asciiTheme="majorEastAsia" w:eastAsiaTheme="majorEastAsia" w:hAnsiTheme="majorEastAsia" w:hint="eastAsia"/>
        </w:rPr>
        <w:t>由</w:t>
      </w:r>
      <w:r w:rsidR="004A254B">
        <w:rPr>
          <w:rFonts w:asciiTheme="majorEastAsia" w:eastAsiaTheme="majorEastAsia" w:hAnsiTheme="majorEastAsia" w:hint="eastAsia"/>
        </w:rPr>
        <w:t>PAM</w:t>
      </w:r>
      <w:r w:rsidR="004A254B">
        <w:rPr>
          <w:rFonts w:asciiTheme="majorEastAsia" w:eastAsiaTheme="majorEastAsia" w:hAnsiTheme="majorEastAsia" w:hint="eastAsia"/>
        </w:rPr>
        <w:t>加药装置</w:t>
      </w:r>
      <w:r w:rsidR="004A254B">
        <w:rPr>
          <w:rFonts w:asciiTheme="majorEastAsia" w:eastAsiaTheme="majorEastAsia" w:hAnsiTheme="majorEastAsia" w:hint="eastAsia"/>
        </w:rPr>
        <w:t>1</w:t>
      </w:r>
      <w:r w:rsidR="004A254B">
        <w:rPr>
          <w:rFonts w:asciiTheme="majorEastAsia" w:eastAsiaTheme="majorEastAsia" w:hAnsiTheme="majorEastAsia" w:hint="eastAsia"/>
        </w:rPr>
        <w:t>台，设备房、突发楼预处理、动物房预处理共消毒设备</w:t>
      </w:r>
      <w:r w:rsidR="004A254B">
        <w:rPr>
          <w:rFonts w:asciiTheme="majorEastAsia" w:eastAsiaTheme="majorEastAsia" w:hAnsiTheme="majorEastAsia" w:hint="eastAsia"/>
        </w:rPr>
        <w:t>7</w:t>
      </w:r>
      <w:r w:rsidR="004A254B">
        <w:rPr>
          <w:rFonts w:asciiTheme="majorEastAsia" w:eastAsiaTheme="majorEastAsia" w:hAnsiTheme="majorEastAsia" w:hint="eastAsia"/>
        </w:rPr>
        <w:t>台等）组成的污水处理自动投药设备。</w:t>
      </w:r>
    </w:p>
    <w:p w14:paraId="7647D454"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hint="eastAsia"/>
        </w:rPr>
        <w:t>、运输要求</w:t>
      </w:r>
    </w:p>
    <w:p w14:paraId="6EFECF31"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7.1</w:t>
      </w:r>
      <w:r>
        <w:rPr>
          <w:rFonts w:asciiTheme="majorEastAsia" w:eastAsiaTheme="majorEastAsia" w:hAnsiTheme="majorEastAsia" w:hint="eastAsia"/>
        </w:rPr>
        <w:t>保证运输的时效性，规定时间（</w:t>
      </w:r>
      <w:r>
        <w:rPr>
          <w:rFonts w:asciiTheme="majorEastAsia" w:eastAsiaTheme="majorEastAsia" w:hAnsiTheme="majorEastAsia" w:hint="eastAsia"/>
        </w:rPr>
        <w:t>12</w:t>
      </w:r>
      <w:r>
        <w:rPr>
          <w:rFonts w:asciiTheme="majorEastAsia" w:eastAsiaTheme="majorEastAsia" w:hAnsiTheme="majorEastAsia" w:hint="eastAsia"/>
        </w:rPr>
        <w:t>小时）内必须送达医院指点地点，如遇紧急情况供应商需在</w:t>
      </w:r>
      <w:r>
        <w:rPr>
          <w:rFonts w:asciiTheme="majorEastAsia" w:eastAsiaTheme="majorEastAsia" w:hAnsiTheme="majorEastAsia" w:hint="eastAsia"/>
        </w:rPr>
        <w:t>4</w:t>
      </w:r>
      <w:r>
        <w:rPr>
          <w:rFonts w:asciiTheme="majorEastAsia" w:eastAsiaTheme="majorEastAsia" w:hAnsiTheme="majorEastAsia" w:hint="eastAsia"/>
        </w:rPr>
        <w:t>小时内送达；</w:t>
      </w:r>
    </w:p>
    <w:p w14:paraId="0643A2A9"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7.2</w:t>
      </w:r>
      <w:r>
        <w:rPr>
          <w:rFonts w:asciiTheme="majorEastAsia" w:eastAsiaTheme="majorEastAsia" w:hAnsiTheme="majorEastAsia" w:hint="eastAsia"/>
        </w:rPr>
        <w:t>如紧急情况下供应商未能在规定时间内送至，采购方可选择第三方供货，结算时扣除相应款项；</w:t>
      </w:r>
    </w:p>
    <w:p w14:paraId="257D1897"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7.3</w:t>
      </w:r>
      <w:r>
        <w:rPr>
          <w:rFonts w:asciiTheme="majorEastAsia" w:eastAsiaTheme="majorEastAsia" w:hAnsiTheme="majorEastAsia" w:hint="eastAsia"/>
        </w:rPr>
        <w:t>未能如期送货的结</w:t>
      </w:r>
      <w:r>
        <w:rPr>
          <w:rFonts w:asciiTheme="majorEastAsia" w:eastAsiaTheme="majorEastAsia" w:hAnsiTheme="majorEastAsia" w:hint="eastAsia"/>
        </w:rPr>
        <w:t>算时扣除该批次货物相应的费用；</w:t>
      </w:r>
    </w:p>
    <w:p w14:paraId="24C6C387"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7.4</w:t>
      </w:r>
      <w:r>
        <w:rPr>
          <w:rFonts w:asciiTheme="majorEastAsia" w:eastAsiaTheme="majorEastAsia" w:hAnsiTheme="majorEastAsia" w:hint="eastAsia"/>
        </w:rPr>
        <w:t>提供运输该溶液相关资质和车辆，如危化品运输许可证、危化品经营营业执照、卫生许可证明、产品检测报告等。在供货期间，供应商不提供相应资质或使用无资质车辆进行运输，一切责任由供应商自行承担。</w:t>
      </w:r>
    </w:p>
    <w:p w14:paraId="58FEF42A"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7.5</w:t>
      </w:r>
      <w:r>
        <w:rPr>
          <w:rFonts w:asciiTheme="majorEastAsia" w:eastAsiaTheme="majorEastAsia" w:hAnsiTheme="majorEastAsia" w:hint="eastAsia"/>
        </w:rPr>
        <w:t>产品制造商须具有安全生产许可证或消毒产品生产企业卫生许可证（同时附全国消毒产品网上备案证明），文件中须提供证书（复印件）。</w:t>
      </w:r>
    </w:p>
    <w:p w14:paraId="750B1B85"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三、商务要求</w:t>
      </w:r>
    </w:p>
    <w:p w14:paraId="4BAEF546"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hint="eastAsia"/>
        </w:rPr>
        <w:t>、供应商</w:t>
      </w:r>
      <w:r>
        <w:rPr>
          <w:rFonts w:asciiTheme="majorEastAsia" w:eastAsiaTheme="majorEastAsia" w:hAnsiTheme="majorEastAsia"/>
        </w:rPr>
        <w:t>在履行服务合同后，</w:t>
      </w:r>
      <w:r>
        <w:rPr>
          <w:rFonts w:asciiTheme="majorEastAsia" w:eastAsiaTheme="majorEastAsia" w:hAnsiTheme="majorEastAsia" w:hint="eastAsia"/>
        </w:rPr>
        <w:t>医院</w:t>
      </w:r>
      <w:r>
        <w:rPr>
          <w:rFonts w:asciiTheme="majorEastAsia" w:eastAsiaTheme="majorEastAsia" w:hAnsiTheme="majorEastAsia"/>
        </w:rPr>
        <w:t>将以实际供货量进行合同结算，</w:t>
      </w:r>
      <w:r>
        <w:rPr>
          <w:rFonts w:asciiTheme="majorEastAsia" w:eastAsiaTheme="majorEastAsia" w:hAnsiTheme="majorEastAsia" w:hint="eastAsia"/>
        </w:rPr>
        <w:t>供应商</w:t>
      </w:r>
      <w:r>
        <w:rPr>
          <w:rFonts w:asciiTheme="majorEastAsia" w:eastAsiaTheme="majorEastAsia" w:hAnsiTheme="majorEastAsia"/>
        </w:rPr>
        <w:t>在</w:t>
      </w:r>
      <w:r>
        <w:rPr>
          <w:rFonts w:asciiTheme="majorEastAsia" w:eastAsiaTheme="majorEastAsia" w:hAnsiTheme="majorEastAsia" w:hint="eastAsia"/>
        </w:rPr>
        <w:t>响应</w:t>
      </w:r>
      <w:r>
        <w:rPr>
          <w:rFonts w:asciiTheme="majorEastAsia" w:eastAsiaTheme="majorEastAsia" w:hAnsiTheme="majorEastAsia"/>
        </w:rPr>
        <w:t>文件分项报价表中所报综合单价作为本次</w:t>
      </w:r>
      <w:r>
        <w:rPr>
          <w:rFonts w:asciiTheme="majorEastAsia" w:eastAsiaTheme="majorEastAsia" w:hAnsiTheme="majorEastAsia" w:hint="eastAsia"/>
        </w:rPr>
        <w:t>招标</w:t>
      </w:r>
      <w:r>
        <w:rPr>
          <w:rFonts w:asciiTheme="majorEastAsia" w:eastAsiaTheme="majorEastAsia" w:hAnsiTheme="majorEastAsia"/>
        </w:rPr>
        <w:t>最</w:t>
      </w:r>
      <w:r>
        <w:rPr>
          <w:rFonts w:asciiTheme="majorEastAsia" w:eastAsiaTheme="majorEastAsia" w:hAnsiTheme="majorEastAsia"/>
          <w:szCs w:val="21"/>
        </w:rPr>
        <w:t>终结算依据，</w:t>
      </w:r>
      <w:r>
        <w:rPr>
          <w:rFonts w:asciiTheme="majorEastAsia" w:eastAsiaTheme="majorEastAsia" w:hAnsiTheme="majorEastAsia" w:hint="eastAsia"/>
          <w:szCs w:val="21"/>
        </w:rPr>
        <w:t>按实按月结算</w:t>
      </w:r>
      <w:r>
        <w:rPr>
          <w:rFonts w:asciiTheme="majorEastAsia" w:eastAsiaTheme="majorEastAsia" w:hAnsiTheme="majorEastAsia"/>
          <w:szCs w:val="21"/>
        </w:rPr>
        <w:t>。</w:t>
      </w:r>
    </w:p>
    <w:p w14:paraId="0CA6023C"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、本项目为分批次供货，每</w:t>
      </w:r>
      <w:r>
        <w:rPr>
          <w:rFonts w:asciiTheme="majorEastAsia" w:eastAsiaTheme="majorEastAsia" w:hAnsiTheme="majorEastAsia" w:hint="eastAsia"/>
        </w:rPr>
        <w:t>1-2</w:t>
      </w:r>
      <w:r>
        <w:rPr>
          <w:rFonts w:asciiTheme="majorEastAsia" w:eastAsiaTheme="majorEastAsia" w:hAnsiTheme="majorEastAsia" w:hint="eastAsia"/>
        </w:rPr>
        <w:t>天送货，每次送货量按采购人叫货量为准</w:t>
      </w:r>
      <w:r>
        <w:rPr>
          <w:rFonts w:asciiTheme="majorEastAsia" w:eastAsiaTheme="majorEastAsia" w:hAnsiTheme="majorEastAsia" w:hint="eastAsia"/>
        </w:rPr>
        <w:t>，</w:t>
      </w:r>
      <w:r>
        <w:rPr>
          <w:rFonts w:asciiTheme="majorEastAsia" w:eastAsiaTheme="majorEastAsia" w:hAnsiTheme="majorEastAsia" w:hint="eastAsia"/>
        </w:rPr>
        <w:t>目前消耗量为每天</w:t>
      </w:r>
      <w:r>
        <w:rPr>
          <w:rFonts w:asciiTheme="majorEastAsia" w:eastAsiaTheme="majorEastAsia" w:hAnsiTheme="majorEastAsia" w:hint="eastAsia"/>
        </w:rPr>
        <w:t>0.6</w:t>
      </w:r>
      <w:r>
        <w:rPr>
          <w:rFonts w:asciiTheme="majorEastAsia" w:eastAsiaTheme="majorEastAsia" w:hAnsiTheme="majorEastAsia" w:hint="eastAsia"/>
        </w:rPr>
        <w:t>吨，实际以医院需求为准</w:t>
      </w:r>
      <w:r>
        <w:rPr>
          <w:rFonts w:asciiTheme="majorEastAsia" w:eastAsiaTheme="majorEastAsia" w:hAnsiTheme="majorEastAsia" w:hint="eastAsia"/>
        </w:rPr>
        <w:t>。供应商接到供货通知后</w:t>
      </w:r>
      <w:r>
        <w:rPr>
          <w:rFonts w:asciiTheme="majorEastAsia" w:eastAsiaTheme="majorEastAsia" w:hAnsiTheme="majorEastAsia" w:hint="eastAsia"/>
        </w:rPr>
        <w:t>12</w:t>
      </w:r>
      <w:r>
        <w:rPr>
          <w:rFonts w:asciiTheme="majorEastAsia" w:eastAsiaTheme="majorEastAsia" w:hAnsiTheme="majorEastAsia" w:hint="eastAsia"/>
        </w:rPr>
        <w:t>小时内保质保量完成产品的供货，并按要求将货物运送至医院指定地点和指定储罐。</w:t>
      </w:r>
    </w:p>
    <w:p w14:paraId="236BC1CB"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、供货期</w:t>
      </w:r>
      <w:r>
        <w:rPr>
          <w:rFonts w:asciiTheme="majorEastAsia" w:eastAsiaTheme="majorEastAsia" w:hAnsiTheme="majorEastAsia" w:hint="eastAsia"/>
        </w:rPr>
        <w:t>3</w:t>
      </w:r>
      <w:r>
        <w:rPr>
          <w:rFonts w:asciiTheme="majorEastAsia" w:eastAsiaTheme="majorEastAsia" w:hAnsiTheme="majorEastAsia" w:hint="eastAsia"/>
        </w:rPr>
        <w:t>年，</w:t>
      </w:r>
      <w:r>
        <w:rPr>
          <w:rFonts w:eastAsiaTheme="majorEastAsia" w:hint="eastAsia"/>
          <w:color w:val="000000"/>
        </w:rPr>
        <w:t>合同期</w:t>
      </w:r>
      <w:r>
        <w:rPr>
          <w:rFonts w:eastAsiaTheme="majorEastAsia" w:hint="eastAsia"/>
          <w:color w:val="000000"/>
        </w:rPr>
        <w:t>2025</w:t>
      </w:r>
      <w:r>
        <w:rPr>
          <w:rFonts w:eastAsiaTheme="majorEastAsia" w:hint="eastAsia"/>
          <w:color w:val="000000"/>
        </w:rPr>
        <w:t>年</w:t>
      </w:r>
      <w:r>
        <w:rPr>
          <w:rFonts w:eastAsiaTheme="majorEastAsia" w:hint="eastAsia"/>
          <w:color w:val="000000"/>
        </w:rPr>
        <w:t>5</w:t>
      </w:r>
      <w:r>
        <w:rPr>
          <w:rFonts w:eastAsiaTheme="majorEastAsia" w:hint="eastAsia"/>
          <w:color w:val="000000"/>
        </w:rPr>
        <w:t>月</w:t>
      </w:r>
      <w:r>
        <w:rPr>
          <w:rFonts w:eastAsiaTheme="majorEastAsia" w:hint="eastAsia"/>
          <w:color w:val="000000"/>
        </w:rPr>
        <w:t>27</w:t>
      </w:r>
      <w:r>
        <w:rPr>
          <w:rFonts w:eastAsiaTheme="majorEastAsia" w:hint="eastAsia"/>
          <w:color w:val="000000"/>
        </w:rPr>
        <w:t>日至</w:t>
      </w:r>
      <w:r>
        <w:rPr>
          <w:rFonts w:eastAsiaTheme="majorEastAsia" w:hint="eastAsia"/>
          <w:color w:val="000000"/>
        </w:rPr>
        <w:t>2028</w:t>
      </w:r>
      <w:r>
        <w:rPr>
          <w:rFonts w:eastAsiaTheme="majorEastAsia" w:hint="eastAsia"/>
          <w:color w:val="000000"/>
        </w:rPr>
        <w:t>年</w:t>
      </w:r>
      <w:r>
        <w:rPr>
          <w:rFonts w:eastAsiaTheme="majorEastAsia" w:hint="eastAsia"/>
          <w:color w:val="000000"/>
        </w:rPr>
        <w:t>5</w:t>
      </w:r>
      <w:r>
        <w:rPr>
          <w:rFonts w:eastAsiaTheme="majorEastAsia" w:hint="eastAsia"/>
          <w:color w:val="000000"/>
        </w:rPr>
        <w:t>月</w:t>
      </w:r>
      <w:r>
        <w:rPr>
          <w:rFonts w:eastAsiaTheme="majorEastAsia" w:hint="eastAsia"/>
          <w:color w:val="000000"/>
        </w:rPr>
        <w:t>26</w:t>
      </w:r>
      <w:r>
        <w:rPr>
          <w:rFonts w:eastAsiaTheme="majorEastAsia" w:hint="eastAsia"/>
          <w:color w:val="000000"/>
        </w:rPr>
        <w:t>日</w:t>
      </w:r>
      <w:r>
        <w:rPr>
          <w:rFonts w:asciiTheme="majorEastAsia" w:eastAsiaTheme="majorEastAsia" w:hAnsiTheme="majorEastAsia"/>
          <w:szCs w:val="21"/>
        </w:rPr>
        <w:t>。</w:t>
      </w:r>
    </w:p>
    <w:p w14:paraId="5AA0D4C8"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4</w:t>
      </w:r>
      <w:r>
        <w:rPr>
          <w:rFonts w:asciiTheme="majorEastAsia" w:eastAsiaTheme="majorEastAsia" w:hAnsiTheme="majorEastAsia" w:hint="eastAsia"/>
        </w:rPr>
        <w:t>、报价</w:t>
      </w:r>
      <w:r>
        <w:rPr>
          <w:rFonts w:asciiTheme="majorEastAsia" w:eastAsiaTheme="majorEastAsia" w:hAnsiTheme="majorEastAsia"/>
        </w:rPr>
        <w:t>要求</w:t>
      </w:r>
    </w:p>
    <w:p w14:paraId="671960CF" w14:textId="77777777" w:rsidR="00FE61EC" w:rsidRDefault="004A254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本次报价为</w:t>
      </w:r>
      <w:r>
        <w:rPr>
          <w:rFonts w:asciiTheme="majorEastAsia" w:eastAsiaTheme="majorEastAsia" w:hAnsiTheme="majorEastAsia" w:hint="eastAsia"/>
        </w:rPr>
        <w:t>75</w:t>
      </w:r>
      <w:r>
        <w:rPr>
          <w:rFonts w:asciiTheme="majorEastAsia" w:eastAsiaTheme="majorEastAsia" w:hAnsiTheme="majorEastAsia" w:hint="eastAsia"/>
        </w:rPr>
        <w:t>0</w:t>
      </w:r>
      <w:r>
        <w:rPr>
          <w:rFonts w:asciiTheme="majorEastAsia" w:eastAsiaTheme="majorEastAsia" w:hAnsiTheme="majorEastAsia" w:hint="eastAsia"/>
        </w:rPr>
        <w:t>吨</w:t>
      </w:r>
      <w:r>
        <w:rPr>
          <w:rFonts w:asciiTheme="majorEastAsia" w:eastAsiaTheme="majorEastAsia" w:hAnsiTheme="majorEastAsia"/>
          <w:szCs w:val="21"/>
        </w:rPr>
        <w:t>污水处理用次氯酸钠采购</w:t>
      </w:r>
      <w:r>
        <w:rPr>
          <w:rFonts w:asciiTheme="majorEastAsia" w:eastAsiaTheme="majorEastAsia" w:hAnsiTheme="majorEastAsia" w:hint="eastAsia"/>
          <w:szCs w:val="21"/>
        </w:rPr>
        <w:t>的</w:t>
      </w:r>
      <w:r>
        <w:rPr>
          <w:rFonts w:asciiTheme="majorEastAsia" w:eastAsiaTheme="majorEastAsia" w:hAnsiTheme="majorEastAsia" w:hint="eastAsia"/>
        </w:rPr>
        <w:t>总价，并提供货物综合单价（每吨）。货</w:t>
      </w:r>
      <w:r>
        <w:rPr>
          <w:rFonts w:asciiTheme="majorEastAsia" w:eastAsiaTheme="majorEastAsia" w:hAnsiTheme="majorEastAsia" w:hint="eastAsia"/>
        </w:rPr>
        <w:lastRenderedPageBreak/>
        <w:t>物综合单价中应包含但不限于材料费、辅助材料费、制造、购置费、运输费、售后服务、质检费、验收费、税金和其它费用等。</w:t>
      </w:r>
    </w:p>
    <w:p w14:paraId="5CCA5466"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hint="eastAsia"/>
        </w:rPr>
        <w:t>、若供应商提供的货物与响应文件规定的不符，并存在以次充好的情况，其情节严重的，医院有权直接终止合同，并追究供应商给医院造成的全部损失及责任。</w:t>
      </w:r>
    </w:p>
    <w:p w14:paraId="79586B19"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hint="eastAsia"/>
        </w:rPr>
        <w:t>、每批次供货均须提供出厂检验报告或其他质量证明文件。产品的各项要求必须符合国家现行最新的且已实施的相关标准和规范。</w:t>
      </w:r>
    </w:p>
    <w:p w14:paraId="6BDC092B"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hint="eastAsia"/>
        </w:rPr>
        <w:t>、供应商必须按有关规定和要求组织本次响应产品的生产、供货、运输、仓储、保管、配合验收、技术服务及售后服务，合同实施过程中的各种意外，其责任由供应商承担，医院不承担任何责任。</w:t>
      </w:r>
    </w:p>
    <w:p w14:paraId="49B1CE9A"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hint="eastAsia"/>
        </w:rPr>
        <w:t>、售后服务</w:t>
      </w:r>
    </w:p>
    <w:p w14:paraId="6756FB39"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.1</w:t>
      </w:r>
      <w:r>
        <w:rPr>
          <w:rFonts w:asciiTheme="majorEastAsia" w:eastAsiaTheme="majorEastAsia" w:hAnsiTheme="majorEastAsia" w:hint="eastAsia"/>
        </w:rPr>
        <w:t>供应商需在</w:t>
      </w:r>
      <w:r>
        <w:rPr>
          <w:rFonts w:asciiTheme="majorEastAsia" w:eastAsiaTheme="majorEastAsia" w:hAnsiTheme="majorEastAsia"/>
        </w:rPr>
        <w:t>1</w:t>
      </w:r>
      <w:r>
        <w:rPr>
          <w:rFonts w:asciiTheme="majorEastAsia" w:eastAsiaTheme="majorEastAsia" w:hAnsiTheme="majorEastAsia" w:hint="eastAsia"/>
        </w:rPr>
        <w:t>小时内响应，</w:t>
      </w:r>
      <w:r>
        <w:rPr>
          <w:rFonts w:asciiTheme="majorEastAsia" w:eastAsiaTheme="majorEastAsia" w:hAnsiTheme="majorEastAsia" w:hint="eastAsia"/>
        </w:rPr>
        <w:t>4</w:t>
      </w:r>
      <w:r>
        <w:rPr>
          <w:rFonts w:asciiTheme="majorEastAsia" w:eastAsiaTheme="majorEastAsia" w:hAnsiTheme="majorEastAsia" w:hint="eastAsia"/>
        </w:rPr>
        <w:t>小时解决问题和采购人提出的合</w:t>
      </w:r>
      <w:r>
        <w:rPr>
          <w:rFonts w:asciiTheme="majorEastAsia" w:eastAsiaTheme="majorEastAsia" w:hAnsiTheme="majorEastAsia" w:hint="eastAsia"/>
        </w:rPr>
        <w:t>理要求，在响应文件中请提供详细的售后服务承诺书。</w:t>
      </w:r>
    </w:p>
    <w:p w14:paraId="408FAE81"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8.2</w:t>
      </w:r>
      <w:r>
        <w:rPr>
          <w:rFonts w:asciiTheme="majorEastAsia" w:eastAsiaTheme="majorEastAsia" w:hAnsiTheme="majorEastAsia" w:hint="eastAsia"/>
        </w:rPr>
        <w:t>需要请有检测资质的第三方机构对产品提供</w:t>
      </w:r>
      <w:r>
        <w:rPr>
          <w:rFonts w:asciiTheme="majorEastAsia" w:eastAsiaTheme="majorEastAsia" w:hAnsiTheme="majorEastAsia" w:hint="eastAsia"/>
        </w:rPr>
        <w:t>4</w:t>
      </w:r>
      <w:r>
        <w:rPr>
          <w:rFonts w:asciiTheme="majorEastAsia" w:eastAsiaTheme="majorEastAsia" w:hAnsiTheme="majorEastAsia" w:hint="eastAsia"/>
        </w:rPr>
        <w:t>次检测（间隔</w:t>
      </w:r>
      <w:r>
        <w:rPr>
          <w:rFonts w:asciiTheme="majorEastAsia" w:eastAsiaTheme="majorEastAsia" w:hAnsiTheme="majorEastAsia" w:hint="eastAsia"/>
        </w:rPr>
        <w:t>3</w:t>
      </w:r>
      <w:r>
        <w:rPr>
          <w:rFonts w:asciiTheme="majorEastAsia" w:eastAsiaTheme="majorEastAsia" w:hAnsiTheme="majorEastAsia" w:hint="eastAsia"/>
        </w:rPr>
        <w:t>个月）以证明产品符合要求，费用由供应商承担。</w:t>
      </w:r>
    </w:p>
    <w:p w14:paraId="65963D6B"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hint="eastAsia"/>
        </w:rPr>
        <w:t>、验收</w:t>
      </w:r>
    </w:p>
    <w:p w14:paraId="343CEDEC"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.1</w:t>
      </w:r>
      <w:r>
        <w:rPr>
          <w:rFonts w:asciiTheme="majorEastAsia" w:eastAsiaTheme="majorEastAsia" w:hAnsiTheme="majorEastAsia" w:hint="eastAsia"/>
        </w:rPr>
        <w:t>医院如有必要可以随机对提供的货物进行实样抽检，指定第三方检测机构进行检测，并提供检测报告，检测费用由供应商承担，检测不合格视为验收不合格。验收中发现货物达不到验收标准或合同规定的性能指标，供应商必须无条件的重新生产满足本次采购需求的货物，并且承担由此给医院造成的损失。</w:t>
      </w:r>
    </w:p>
    <w:p w14:paraId="74B21B64" w14:textId="77777777" w:rsidR="00FE61EC" w:rsidRDefault="004A254B">
      <w:pPr>
        <w:spacing w:line="400" w:lineRule="exact"/>
        <w:rPr>
          <w:rFonts w:asciiTheme="majorEastAsia" w:eastAsiaTheme="majorEastAsia" w:hAnsiTheme="majorEastAsia"/>
        </w:rPr>
      </w:pPr>
      <w:r>
        <w:rPr>
          <w:rFonts w:asciiTheme="majorEastAsia" w:eastAsiaTheme="majorEastAsia" w:hAnsiTheme="majorEastAsia" w:hint="eastAsia"/>
        </w:rPr>
        <w:t>9.2</w:t>
      </w:r>
      <w:r>
        <w:rPr>
          <w:rFonts w:asciiTheme="majorEastAsia" w:eastAsiaTheme="majorEastAsia" w:hAnsiTheme="majorEastAsia" w:hint="eastAsia"/>
        </w:rPr>
        <w:t>验收费用由供应商负担。</w:t>
      </w:r>
    </w:p>
    <w:p w14:paraId="5CCC66DC" w14:textId="2D675BC5" w:rsidR="00FE61EC" w:rsidRDefault="004A254B">
      <w:pPr>
        <w:spacing w:line="400" w:lineRule="exact"/>
      </w:pPr>
      <w:r>
        <w:rPr>
          <w:rFonts w:asciiTheme="majorEastAsia" w:eastAsiaTheme="majorEastAsia" w:hAnsiTheme="majorEastAsia" w:hint="eastAsia"/>
        </w:rPr>
        <w:t>10</w:t>
      </w:r>
      <w:r>
        <w:rPr>
          <w:rFonts w:asciiTheme="majorEastAsia" w:eastAsiaTheme="majorEastAsia" w:hAnsiTheme="majorEastAsia" w:hint="eastAsia"/>
        </w:rPr>
        <w:t>、供应商须提供</w:t>
      </w:r>
      <w:r>
        <w:rPr>
          <w:rFonts w:asciiTheme="majorEastAsia" w:eastAsiaTheme="majorEastAsia" w:hAnsiTheme="majorEastAsia" w:hint="eastAsia"/>
        </w:rPr>
        <w:t>溶液成</w:t>
      </w:r>
      <w:r>
        <w:rPr>
          <w:rFonts w:asciiTheme="majorEastAsia" w:eastAsiaTheme="majorEastAsia" w:hAnsiTheme="majorEastAsia" w:hint="eastAsia"/>
        </w:rPr>
        <w:t>分中不含</w:t>
      </w:r>
      <w:r w:rsidR="0047660D" w:rsidRPr="00274A43">
        <w:rPr>
          <w:rFonts w:asciiTheme="majorEastAsia" w:eastAsiaTheme="majorEastAsia" w:hAnsiTheme="majorEastAsia" w:hint="eastAsia"/>
        </w:rPr>
        <w:t>生产企业所在地</w:t>
      </w:r>
      <w:r w:rsidRPr="00274A43">
        <w:rPr>
          <w:rFonts w:asciiTheme="majorEastAsia" w:eastAsiaTheme="majorEastAsia" w:hAnsiTheme="majorEastAsia" w:hint="eastAsia"/>
        </w:rPr>
        <w:t>公安局</w:t>
      </w:r>
      <w:r>
        <w:rPr>
          <w:rFonts w:asciiTheme="majorEastAsia" w:eastAsiaTheme="majorEastAsia" w:hAnsiTheme="majorEastAsia" w:hint="eastAsia"/>
        </w:rPr>
        <w:t>规定的易制毒成分承诺函原件</w:t>
      </w:r>
      <w:r>
        <w:rPr>
          <w:rFonts w:asciiTheme="majorEastAsia" w:eastAsiaTheme="majorEastAsia" w:hAnsiTheme="majorEastAsia" w:hint="eastAsia"/>
        </w:rPr>
        <w:t>，在合同签订前提供相关证明</w:t>
      </w:r>
      <w:r>
        <w:rPr>
          <w:rFonts w:asciiTheme="majorEastAsia" w:eastAsiaTheme="majorEastAsia" w:hAnsiTheme="majorEastAsia" w:hint="eastAsia"/>
        </w:rPr>
        <w:t>。</w:t>
      </w:r>
      <w:bookmarkStart w:id="3" w:name="_GoBack"/>
      <w:bookmarkEnd w:id="3"/>
    </w:p>
    <w:p w14:paraId="217D10CA" w14:textId="77777777" w:rsidR="00FE61EC" w:rsidRDefault="004A254B" w:rsidP="0046340B">
      <w:pPr>
        <w:pStyle w:val="a0"/>
      </w:pPr>
      <w:r>
        <w:rPr>
          <w:rFonts w:asciiTheme="majorEastAsia" w:eastAsiaTheme="majorEastAsia" w:hAnsiTheme="majorEastAsia" w:hint="eastAsia"/>
        </w:rPr>
        <w:t>11</w:t>
      </w:r>
      <w:r>
        <w:rPr>
          <w:rFonts w:asciiTheme="majorEastAsia" w:eastAsiaTheme="majorEastAsia" w:hAnsiTheme="majorEastAsia" w:hint="eastAsia"/>
        </w:rPr>
        <w:t>、</w:t>
      </w:r>
      <w:r>
        <w:rPr>
          <w:rFonts w:hint="eastAsia"/>
        </w:rPr>
        <w:t>供应商需对莫干山院区污水站药剂储罐进行罐体清洗（根据采购人要求），不单独报价，价格包含在总价中。</w:t>
      </w:r>
    </w:p>
    <w:p w14:paraId="40C46CCB" w14:textId="77777777" w:rsidR="00FE61EC" w:rsidRDefault="004A254B" w:rsidP="0046340B">
      <w:pPr>
        <w:pStyle w:val="a0"/>
      </w:pPr>
      <w:r>
        <w:rPr>
          <w:rFonts w:hint="eastAsia"/>
        </w:rPr>
        <w:t>12</w:t>
      </w:r>
      <w:r>
        <w:rPr>
          <w:rFonts w:hint="eastAsia"/>
        </w:rPr>
        <w:t>、付款方式：每月按实际供货数量结算。</w:t>
      </w:r>
    </w:p>
    <w:p w14:paraId="4E3785A6" w14:textId="77777777" w:rsidR="00FE61EC" w:rsidRDefault="00FE61EC" w:rsidP="0046340B">
      <w:pPr>
        <w:pStyle w:val="a0"/>
      </w:pPr>
    </w:p>
    <w:p w14:paraId="4D188DBD" w14:textId="77777777" w:rsidR="00FE61EC" w:rsidRDefault="00FE61EC" w:rsidP="0046340B">
      <w:pPr>
        <w:pStyle w:val="a0"/>
      </w:pPr>
    </w:p>
    <w:sectPr w:rsidR="00FE61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EBCC" w14:textId="77777777" w:rsidR="004A254B" w:rsidRDefault="004A254B">
      <w:r>
        <w:separator/>
      </w:r>
    </w:p>
  </w:endnote>
  <w:endnote w:type="continuationSeparator" w:id="0">
    <w:p w14:paraId="6341DF2F" w14:textId="77777777" w:rsidR="004A254B" w:rsidRDefault="004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829513"/>
    </w:sdtPr>
    <w:sdtEndPr/>
    <w:sdtContent>
      <w:p w14:paraId="4326A72A" w14:textId="77777777" w:rsidR="00FE61EC" w:rsidRDefault="004A254B">
        <w:pPr>
          <w:pStyle w:val="a6"/>
          <w:jc w:val="right"/>
        </w:pPr>
        <w:r>
          <w:fldChar w:fldCharType="begin"/>
        </w:r>
        <w:r>
          <w:instrText>PAGE   \* MERGEFORMAT</w:instrText>
        </w:r>
        <w:r>
          <w:fldChar w:fldCharType="separate"/>
        </w:r>
        <w:r w:rsidR="0046340B" w:rsidRPr="0046340B">
          <w:rPr>
            <w:noProof/>
            <w:lang w:val="zh-CN"/>
          </w:rPr>
          <w:t>2</w:t>
        </w:r>
        <w:r>
          <w:fldChar w:fldCharType="end"/>
        </w:r>
      </w:p>
    </w:sdtContent>
  </w:sdt>
  <w:p w14:paraId="22F2DC75" w14:textId="77777777" w:rsidR="00FE61EC" w:rsidRDefault="00FE61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9835E" w14:textId="77777777" w:rsidR="004A254B" w:rsidRDefault="004A254B">
      <w:r>
        <w:separator/>
      </w:r>
    </w:p>
  </w:footnote>
  <w:footnote w:type="continuationSeparator" w:id="0">
    <w:p w14:paraId="559C106F" w14:textId="77777777" w:rsidR="004A254B" w:rsidRDefault="004A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Q0ZDc1MmY2OTg2ZjE4ZDBhYThjMDBjZjhkYjYifQ=="/>
  </w:docVars>
  <w:rsids>
    <w:rsidRoot w:val="00D93747"/>
    <w:rsid w:val="000612E9"/>
    <w:rsid w:val="000657BB"/>
    <w:rsid w:val="000903D4"/>
    <w:rsid w:val="000C67CC"/>
    <w:rsid w:val="000D5E30"/>
    <w:rsid w:val="001030C1"/>
    <w:rsid w:val="001240C6"/>
    <w:rsid w:val="00135B3B"/>
    <w:rsid w:val="001562AC"/>
    <w:rsid w:val="001843F7"/>
    <w:rsid w:val="00190114"/>
    <w:rsid w:val="001B6105"/>
    <w:rsid w:val="001C3140"/>
    <w:rsid w:val="001C4E80"/>
    <w:rsid w:val="001F04D3"/>
    <w:rsid w:val="001F3D19"/>
    <w:rsid w:val="002230F7"/>
    <w:rsid w:val="00223C7D"/>
    <w:rsid w:val="00225F90"/>
    <w:rsid w:val="00236115"/>
    <w:rsid w:val="00236A81"/>
    <w:rsid w:val="002449B6"/>
    <w:rsid w:val="00270A4D"/>
    <w:rsid w:val="00274A43"/>
    <w:rsid w:val="00295D88"/>
    <w:rsid w:val="002D1EE6"/>
    <w:rsid w:val="00310636"/>
    <w:rsid w:val="00314A61"/>
    <w:rsid w:val="0034300D"/>
    <w:rsid w:val="0035085C"/>
    <w:rsid w:val="0036350B"/>
    <w:rsid w:val="003750FD"/>
    <w:rsid w:val="0038358A"/>
    <w:rsid w:val="003858F7"/>
    <w:rsid w:val="0039112A"/>
    <w:rsid w:val="00393272"/>
    <w:rsid w:val="003B008F"/>
    <w:rsid w:val="003B2BB3"/>
    <w:rsid w:val="003D0ABF"/>
    <w:rsid w:val="003E56B0"/>
    <w:rsid w:val="00401793"/>
    <w:rsid w:val="00414F45"/>
    <w:rsid w:val="00427268"/>
    <w:rsid w:val="00442F7B"/>
    <w:rsid w:val="004572CE"/>
    <w:rsid w:val="0046340B"/>
    <w:rsid w:val="00465B3B"/>
    <w:rsid w:val="0047660D"/>
    <w:rsid w:val="00482AEF"/>
    <w:rsid w:val="004963E3"/>
    <w:rsid w:val="004A254B"/>
    <w:rsid w:val="004C7064"/>
    <w:rsid w:val="004C775B"/>
    <w:rsid w:val="004D32F3"/>
    <w:rsid w:val="004E62A1"/>
    <w:rsid w:val="004F3977"/>
    <w:rsid w:val="00514380"/>
    <w:rsid w:val="00532AB7"/>
    <w:rsid w:val="0054363F"/>
    <w:rsid w:val="0055415B"/>
    <w:rsid w:val="00565C04"/>
    <w:rsid w:val="00571EAB"/>
    <w:rsid w:val="00585140"/>
    <w:rsid w:val="005A0D5E"/>
    <w:rsid w:val="005D2DC5"/>
    <w:rsid w:val="005E5133"/>
    <w:rsid w:val="005F6686"/>
    <w:rsid w:val="005F753F"/>
    <w:rsid w:val="006350D7"/>
    <w:rsid w:val="00674611"/>
    <w:rsid w:val="006821A1"/>
    <w:rsid w:val="00685034"/>
    <w:rsid w:val="006A6675"/>
    <w:rsid w:val="006A6C11"/>
    <w:rsid w:val="006B0416"/>
    <w:rsid w:val="006C34CA"/>
    <w:rsid w:val="006C5BEE"/>
    <w:rsid w:val="00705F08"/>
    <w:rsid w:val="00733412"/>
    <w:rsid w:val="007374D8"/>
    <w:rsid w:val="00741C4C"/>
    <w:rsid w:val="007471CE"/>
    <w:rsid w:val="00762066"/>
    <w:rsid w:val="00774321"/>
    <w:rsid w:val="007907F8"/>
    <w:rsid w:val="00793A96"/>
    <w:rsid w:val="00793B64"/>
    <w:rsid w:val="007C76D5"/>
    <w:rsid w:val="007D3EC3"/>
    <w:rsid w:val="007F4BD6"/>
    <w:rsid w:val="0081028E"/>
    <w:rsid w:val="0082232D"/>
    <w:rsid w:val="00833B01"/>
    <w:rsid w:val="0087538F"/>
    <w:rsid w:val="00896B8F"/>
    <w:rsid w:val="00902FB6"/>
    <w:rsid w:val="00906798"/>
    <w:rsid w:val="00920E56"/>
    <w:rsid w:val="00952D0B"/>
    <w:rsid w:val="00952DD4"/>
    <w:rsid w:val="00971A70"/>
    <w:rsid w:val="009B470C"/>
    <w:rsid w:val="009D7CB1"/>
    <w:rsid w:val="009F0B8A"/>
    <w:rsid w:val="009F1285"/>
    <w:rsid w:val="009F1C05"/>
    <w:rsid w:val="00A711B4"/>
    <w:rsid w:val="00AB3F02"/>
    <w:rsid w:val="00AB6E35"/>
    <w:rsid w:val="00AD0EDB"/>
    <w:rsid w:val="00AD425F"/>
    <w:rsid w:val="00AD4E8B"/>
    <w:rsid w:val="00B750CE"/>
    <w:rsid w:val="00B75F52"/>
    <w:rsid w:val="00B84CC6"/>
    <w:rsid w:val="00B8598E"/>
    <w:rsid w:val="00B86178"/>
    <w:rsid w:val="00BA3602"/>
    <w:rsid w:val="00BB2469"/>
    <w:rsid w:val="00BB74E3"/>
    <w:rsid w:val="00BC61C4"/>
    <w:rsid w:val="00BD44FE"/>
    <w:rsid w:val="00BE15CB"/>
    <w:rsid w:val="00C13662"/>
    <w:rsid w:val="00CC57F9"/>
    <w:rsid w:val="00CD4B39"/>
    <w:rsid w:val="00CE1226"/>
    <w:rsid w:val="00D16E1C"/>
    <w:rsid w:val="00D42074"/>
    <w:rsid w:val="00D46D56"/>
    <w:rsid w:val="00D93747"/>
    <w:rsid w:val="00DC2105"/>
    <w:rsid w:val="00DD6B7A"/>
    <w:rsid w:val="00DF20A7"/>
    <w:rsid w:val="00E5581A"/>
    <w:rsid w:val="00E653D0"/>
    <w:rsid w:val="00E655B5"/>
    <w:rsid w:val="00E93907"/>
    <w:rsid w:val="00EB6FC2"/>
    <w:rsid w:val="00F70398"/>
    <w:rsid w:val="00F73473"/>
    <w:rsid w:val="00F92F3B"/>
    <w:rsid w:val="00FA2E48"/>
    <w:rsid w:val="00FD04A9"/>
    <w:rsid w:val="00FE61EC"/>
    <w:rsid w:val="082149F3"/>
    <w:rsid w:val="23BC26AD"/>
    <w:rsid w:val="327A589D"/>
    <w:rsid w:val="362F778C"/>
    <w:rsid w:val="382A706F"/>
    <w:rsid w:val="3E9525C4"/>
    <w:rsid w:val="416A59DD"/>
    <w:rsid w:val="4BCF0C90"/>
    <w:rsid w:val="51565ABD"/>
    <w:rsid w:val="59687B35"/>
    <w:rsid w:val="5B1213B6"/>
    <w:rsid w:val="5B701635"/>
    <w:rsid w:val="5C046088"/>
    <w:rsid w:val="5E246282"/>
    <w:rsid w:val="5E3F200F"/>
    <w:rsid w:val="63E906A4"/>
    <w:rsid w:val="695D69FB"/>
    <w:rsid w:val="787112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snapToGrid w:val="0"/>
      <w:sz w:val="21"/>
    </w:rPr>
  </w:style>
  <w:style w:type="paragraph" w:styleId="1">
    <w:name w:val="heading 1"/>
    <w:basedOn w:val="a"/>
    <w:next w:val="a"/>
    <w:link w:val="1Char1"/>
    <w:qFormat/>
    <w:pPr>
      <w:keepNext/>
      <w:keepLines/>
      <w:adjustRightInd w:val="0"/>
      <w:spacing w:before="340" w:after="330" w:line="360" w:lineRule="auto"/>
      <w:jc w:val="center"/>
      <w:outlineLvl w:val="0"/>
    </w:pPr>
    <w:rPr>
      <w:rFonts w:eastAsia="黑体"/>
      <w:b/>
      <w:snapToGrid/>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unhideWhenUsed/>
    <w:qFormat/>
    <w:rsid w:val="0046340B"/>
    <w:pPr>
      <w:spacing w:line="400" w:lineRule="exact"/>
    </w:pPr>
  </w:style>
  <w:style w:type="paragraph" w:styleId="a4">
    <w:name w:val="annotation text"/>
    <w:basedOn w:val="a"/>
    <w:link w:val="Char"/>
    <w:autoRedefine/>
    <w:qFormat/>
    <w:pPr>
      <w:jc w:val="left"/>
    </w:pPr>
    <w:rPr>
      <w:rFonts w:asciiTheme="minorHAnsi" w:eastAsiaTheme="minorEastAsia" w:hAnsiTheme="minorHAnsi" w:cstheme="minorBidi"/>
      <w:snapToGrid/>
      <w:kern w:val="2"/>
      <w:szCs w:val="22"/>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rFonts w:asciiTheme="minorHAnsi" w:eastAsiaTheme="minorEastAsia" w:hAnsiTheme="minorHAnsi" w:cstheme="minorBidi"/>
      <w:snapToGrid/>
      <w:kern w:val="2"/>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paragraph" w:styleId="a8">
    <w:name w:val="annotation subject"/>
    <w:basedOn w:val="a4"/>
    <w:next w:val="a4"/>
    <w:link w:val="Char3"/>
    <w:autoRedefine/>
    <w:uiPriority w:val="99"/>
    <w:semiHidden/>
    <w:unhideWhenUsed/>
    <w:qFormat/>
    <w:rPr>
      <w:rFonts w:ascii="Times New Roman" w:eastAsia="宋体" w:hAnsi="Times New Roman" w:cs="Times New Roman"/>
      <w:b/>
      <w:bCs/>
      <w:snapToGrid w:val="0"/>
      <w:kern w:val="0"/>
      <w:szCs w:val="20"/>
    </w:rPr>
  </w:style>
  <w:style w:type="character" w:styleId="a9">
    <w:name w:val="annotation reference"/>
    <w:basedOn w:val="a1"/>
    <w:autoRedefine/>
    <w:uiPriority w:val="99"/>
    <w:semiHidden/>
    <w:unhideWhenUsed/>
    <w:qFormat/>
    <w:rPr>
      <w:sz w:val="21"/>
      <w:szCs w:val="21"/>
    </w:rPr>
  </w:style>
  <w:style w:type="character" w:customStyle="1" w:styleId="Char2">
    <w:name w:val="页眉 Char"/>
    <w:basedOn w:val="a1"/>
    <w:link w:val="a7"/>
    <w:autoRedefine/>
    <w:uiPriority w:val="99"/>
    <w:qFormat/>
    <w:rPr>
      <w:sz w:val="18"/>
      <w:szCs w:val="18"/>
    </w:rPr>
  </w:style>
  <w:style w:type="character" w:customStyle="1" w:styleId="Char1">
    <w:name w:val="页脚 Char"/>
    <w:basedOn w:val="a1"/>
    <w:link w:val="a6"/>
    <w:autoRedefine/>
    <w:uiPriority w:val="99"/>
    <w:qFormat/>
    <w:rPr>
      <w:sz w:val="18"/>
      <w:szCs w:val="18"/>
    </w:rPr>
  </w:style>
  <w:style w:type="character" w:customStyle="1" w:styleId="1Char">
    <w:name w:val="标题 1 Char"/>
    <w:basedOn w:val="a1"/>
    <w:autoRedefine/>
    <w:uiPriority w:val="9"/>
    <w:qFormat/>
    <w:rPr>
      <w:rFonts w:ascii="Times New Roman" w:eastAsia="宋体" w:hAnsi="Times New Roman" w:cs="Times New Roman"/>
      <w:b/>
      <w:bCs/>
      <w:snapToGrid w:val="0"/>
      <w:kern w:val="44"/>
      <w:sz w:val="44"/>
      <w:szCs w:val="44"/>
    </w:rPr>
  </w:style>
  <w:style w:type="character" w:customStyle="1" w:styleId="1Char1">
    <w:name w:val="标题 1 Char1"/>
    <w:link w:val="1"/>
    <w:autoRedefine/>
    <w:qFormat/>
    <w:rPr>
      <w:rFonts w:ascii="Times New Roman" w:eastAsia="黑体" w:hAnsi="Times New Roman" w:cs="Times New Roman"/>
      <w:b/>
      <w:kern w:val="44"/>
      <w:sz w:val="36"/>
      <w:szCs w:val="20"/>
    </w:rPr>
  </w:style>
  <w:style w:type="character" w:customStyle="1" w:styleId="Char">
    <w:name w:val="批注文字 Char"/>
    <w:link w:val="a4"/>
    <w:autoRedefine/>
    <w:qFormat/>
  </w:style>
  <w:style w:type="character" w:customStyle="1" w:styleId="Char10">
    <w:name w:val="批注文字 Char1"/>
    <w:basedOn w:val="a1"/>
    <w:autoRedefine/>
    <w:uiPriority w:val="99"/>
    <w:semiHidden/>
    <w:qFormat/>
    <w:rPr>
      <w:rFonts w:ascii="Times New Roman" w:eastAsia="宋体" w:hAnsi="Times New Roman" w:cs="Times New Roman"/>
      <w:snapToGrid w:val="0"/>
      <w:kern w:val="0"/>
      <w:szCs w:val="20"/>
    </w:rPr>
  </w:style>
  <w:style w:type="character" w:customStyle="1" w:styleId="Char0">
    <w:name w:val="批注框文本 Char"/>
    <w:basedOn w:val="a1"/>
    <w:link w:val="a5"/>
    <w:autoRedefine/>
    <w:uiPriority w:val="99"/>
    <w:semiHidden/>
    <w:qFormat/>
    <w:rPr>
      <w:rFonts w:ascii="Times New Roman" w:eastAsia="宋体" w:hAnsi="Times New Roman" w:cs="Times New Roman"/>
      <w:snapToGrid w:val="0"/>
      <w:kern w:val="0"/>
      <w:sz w:val="18"/>
      <w:szCs w:val="18"/>
    </w:rPr>
  </w:style>
  <w:style w:type="character" w:customStyle="1" w:styleId="Char3">
    <w:name w:val="批注主题 Char"/>
    <w:basedOn w:val="Char"/>
    <w:link w:val="a8"/>
    <w:autoRedefine/>
    <w:uiPriority w:val="99"/>
    <w:semiHidden/>
    <w:qFormat/>
    <w:rPr>
      <w:rFonts w:ascii="Times New Roman" w:eastAsia="宋体" w:hAnsi="Times New Roman" w:cs="Times New Roman"/>
      <w:b/>
      <w:bCs/>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snapToGrid w:val="0"/>
      <w:sz w:val="21"/>
    </w:rPr>
  </w:style>
  <w:style w:type="paragraph" w:styleId="1">
    <w:name w:val="heading 1"/>
    <w:basedOn w:val="a"/>
    <w:next w:val="a"/>
    <w:link w:val="1Char1"/>
    <w:qFormat/>
    <w:pPr>
      <w:keepNext/>
      <w:keepLines/>
      <w:adjustRightInd w:val="0"/>
      <w:spacing w:before="340" w:after="330" w:line="360" w:lineRule="auto"/>
      <w:jc w:val="center"/>
      <w:outlineLvl w:val="0"/>
    </w:pPr>
    <w:rPr>
      <w:rFonts w:eastAsia="黑体"/>
      <w:b/>
      <w:snapToGrid/>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unhideWhenUsed/>
    <w:qFormat/>
    <w:rsid w:val="0046340B"/>
    <w:pPr>
      <w:spacing w:line="400" w:lineRule="exact"/>
    </w:pPr>
  </w:style>
  <w:style w:type="paragraph" w:styleId="a4">
    <w:name w:val="annotation text"/>
    <w:basedOn w:val="a"/>
    <w:link w:val="Char"/>
    <w:autoRedefine/>
    <w:qFormat/>
    <w:pPr>
      <w:jc w:val="left"/>
    </w:pPr>
    <w:rPr>
      <w:rFonts w:asciiTheme="minorHAnsi" w:eastAsiaTheme="minorEastAsia" w:hAnsiTheme="minorHAnsi" w:cstheme="minorBidi"/>
      <w:snapToGrid/>
      <w:kern w:val="2"/>
      <w:szCs w:val="22"/>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rFonts w:asciiTheme="minorHAnsi" w:eastAsiaTheme="minorEastAsia" w:hAnsiTheme="minorHAnsi" w:cstheme="minorBidi"/>
      <w:snapToGrid/>
      <w:kern w:val="2"/>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paragraph" w:styleId="a8">
    <w:name w:val="annotation subject"/>
    <w:basedOn w:val="a4"/>
    <w:next w:val="a4"/>
    <w:link w:val="Char3"/>
    <w:autoRedefine/>
    <w:uiPriority w:val="99"/>
    <w:semiHidden/>
    <w:unhideWhenUsed/>
    <w:qFormat/>
    <w:rPr>
      <w:rFonts w:ascii="Times New Roman" w:eastAsia="宋体" w:hAnsi="Times New Roman" w:cs="Times New Roman"/>
      <w:b/>
      <w:bCs/>
      <w:snapToGrid w:val="0"/>
      <w:kern w:val="0"/>
      <w:szCs w:val="20"/>
    </w:rPr>
  </w:style>
  <w:style w:type="character" w:styleId="a9">
    <w:name w:val="annotation reference"/>
    <w:basedOn w:val="a1"/>
    <w:autoRedefine/>
    <w:uiPriority w:val="99"/>
    <w:semiHidden/>
    <w:unhideWhenUsed/>
    <w:qFormat/>
    <w:rPr>
      <w:sz w:val="21"/>
      <w:szCs w:val="21"/>
    </w:rPr>
  </w:style>
  <w:style w:type="character" w:customStyle="1" w:styleId="Char2">
    <w:name w:val="页眉 Char"/>
    <w:basedOn w:val="a1"/>
    <w:link w:val="a7"/>
    <w:autoRedefine/>
    <w:uiPriority w:val="99"/>
    <w:qFormat/>
    <w:rPr>
      <w:sz w:val="18"/>
      <w:szCs w:val="18"/>
    </w:rPr>
  </w:style>
  <w:style w:type="character" w:customStyle="1" w:styleId="Char1">
    <w:name w:val="页脚 Char"/>
    <w:basedOn w:val="a1"/>
    <w:link w:val="a6"/>
    <w:autoRedefine/>
    <w:uiPriority w:val="99"/>
    <w:qFormat/>
    <w:rPr>
      <w:sz w:val="18"/>
      <w:szCs w:val="18"/>
    </w:rPr>
  </w:style>
  <w:style w:type="character" w:customStyle="1" w:styleId="1Char">
    <w:name w:val="标题 1 Char"/>
    <w:basedOn w:val="a1"/>
    <w:autoRedefine/>
    <w:uiPriority w:val="9"/>
    <w:qFormat/>
    <w:rPr>
      <w:rFonts w:ascii="Times New Roman" w:eastAsia="宋体" w:hAnsi="Times New Roman" w:cs="Times New Roman"/>
      <w:b/>
      <w:bCs/>
      <w:snapToGrid w:val="0"/>
      <w:kern w:val="44"/>
      <w:sz w:val="44"/>
      <w:szCs w:val="44"/>
    </w:rPr>
  </w:style>
  <w:style w:type="character" w:customStyle="1" w:styleId="1Char1">
    <w:name w:val="标题 1 Char1"/>
    <w:link w:val="1"/>
    <w:autoRedefine/>
    <w:qFormat/>
    <w:rPr>
      <w:rFonts w:ascii="Times New Roman" w:eastAsia="黑体" w:hAnsi="Times New Roman" w:cs="Times New Roman"/>
      <w:b/>
      <w:kern w:val="44"/>
      <w:sz w:val="36"/>
      <w:szCs w:val="20"/>
    </w:rPr>
  </w:style>
  <w:style w:type="character" w:customStyle="1" w:styleId="Char">
    <w:name w:val="批注文字 Char"/>
    <w:link w:val="a4"/>
    <w:autoRedefine/>
    <w:qFormat/>
  </w:style>
  <w:style w:type="character" w:customStyle="1" w:styleId="Char10">
    <w:name w:val="批注文字 Char1"/>
    <w:basedOn w:val="a1"/>
    <w:autoRedefine/>
    <w:uiPriority w:val="99"/>
    <w:semiHidden/>
    <w:qFormat/>
    <w:rPr>
      <w:rFonts w:ascii="Times New Roman" w:eastAsia="宋体" w:hAnsi="Times New Roman" w:cs="Times New Roman"/>
      <w:snapToGrid w:val="0"/>
      <w:kern w:val="0"/>
      <w:szCs w:val="20"/>
    </w:rPr>
  </w:style>
  <w:style w:type="character" w:customStyle="1" w:styleId="Char0">
    <w:name w:val="批注框文本 Char"/>
    <w:basedOn w:val="a1"/>
    <w:link w:val="a5"/>
    <w:autoRedefine/>
    <w:uiPriority w:val="99"/>
    <w:semiHidden/>
    <w:qFormat/>
    <w:rPr>
      <w:rFonts w:ascii="Times New Roman" w:eastAsia="宋体" w:hAnsi="Times New Roman" w:cs="Times New Roman"/>
      <w:snapToGrid w:val="0"/>
      <w:kern w:val="0"/>
      <w:sz w:val="18"/>
      <w:szCs w:val="18"/>
    </w:rPr>
  </w:style>
  <w:style w:type="character" w:customStyle="1" w:styleId="Char3">
    <w:name w:val="批注主题 Char"/>
    <w:basedOn w:val="Char"/>
    <w:link w:val="a8"/>
    <w:autoRedefine/>
    <w:uiPriority w:val="99"/>
    <w:semiHidden/>
    <w:qFormat/>
    <w:rPr>
      <w:rFonts w:ascii="Times New Roman" w:eastAsia="宋体" w:hAnsi="Times New Roman" w:cs="Times New Roman"/>
      <w:b/>
      <w:bCs/>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E98D-E536-494A-A18C-57B9A1B0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顾宇阳</dc:creator>
  <cp:lastModifiedBy>wl</cp:lastModifiedBy>
  <cp:revision>13</cp:revision>
  <cp:lastPrinted>2025-01-24T05:24:00Z</cp:lastPrinted>
  <dcterms:created xsi:type="dcterms:W3CDTF">2024-03-20T03:14:00Z</dcterms:created>
  <dcterms:modified xsi:type="dcterms:W3CDTF">2025-02-04T06:09:00Z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EB117582CD20473E91A7E63F866E9FAD_13</vt:lpwstr>
  </property>
  <property fmtid="{D5CDD505-2E9C-101B-9397-08002B2CF9AE}" pid="4" name="KSOTemplateDocerSaveRecord">
    <vt:lpwstr>eyJoZGlkIjoiNGIwMTU5MDVhNjFkOTg4MThmNjAxYjJkYjkwODAxMTIiLCJ1c2VySWQiOiIyNDc5NzY2MjEifQ==</vt:lpwstr>
  </property>
</Properties>
</file>