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2CC56">
      <w:pPr>
        <w:ind w:right="-340" w:rightChars="-162"/>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项目名称：</w:t>
      </w:r>
      <w:r>
        <w:rPr>
          <w:rFonts w:hint="eastAsia"/>
          <w:b/>
          <w:sz w:val="28"/>
          <w:szCs w:val="28"/>
        </w:rPr>
        <w:t>三维电生理导航系统及射频灌注系统</w:t>
      </w:r>
    </w:p>
    <w:p w14:paraId="32B325B0">
      <w:pPr>
        <w:ind w:right="-340" w:rightChars="-162" w:firstLine="2409" w:firstLineChars="800"/>
        <w:rPr>
          <w:rFonts w:asciiTheme="majorEastAsia" w:hAnsiTheme="majorEastAsia" w:eastAsiaTheme="majorEastAsia"/>
          <w:b/>
          <w:sz w:val="30"/>
          <w:szCs w:val="30"/>
        </w:rPr>
      </w:pPr>
      <w:r>
        <w:rPr>
          <w:rFonts w:hint="eastAsia" w:asciiTheme="majorEastAsia" w:hAnsiTheme="majorEastAsia" w:eastAsiaTheme="majorEastAsia"/>
          <w:b/>
          <w:sz w:val="30"/>
          <w:szCs w:val="30"/>
        </w:rPr>
        <w:t>使用科室：心内科</w:t>
      </w:r>
    </w:p>
    <w:tbl>
      <w:tblPr>
        <w:tblStyle w:val="6"/>
        <w:tblW w:w="1017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1"/>
      </w:tblGrid>
      <w:tr w14:paraId="36F4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1" w:type="dxa"/>
            <w:tcBorders>
              <w:bottom w:val="single" w:color="auto" w:sz="4" w:space="0"/>
            </w:tcBorders>
          </w:tcPr>
          <w:p w14:paraId="79080ADE">
            <w:pPr>
              <w:rPr>
                <w:sz w:val="28"/>
                <w:szCs w:val="28"/>
              </w:rPr>
            </w:pPr>
            <w:r>
              <w:rPr>
                <w:rFonts w:hint="eastAsia"/>
              </w:rPr>
              <w:t xml:space="preserve">                                      </w:t>
            </w:r>
            <w:r>
              <w:rPr>
                <w:rFonts w:hint="eastAsia"/>
                <w:b/>
                <w:bCs/>
                <w:sz w:val="28"/>
                <w:szCs w:val="28"/>
              </w:rPr>
              <w:t>基本要求</w:t>
            </w:r>
          </w:p>
          <w:p w14:paraId="0BACD7A9">
            <w:pPr>
              <w:numPr>
                <w:ilvl w:val="0"/>
                <w:numId w:val="1"/>
              </w:numPr>
              <w:rPr>
                <w:sz w:val="24"/>
                <w:szCs w:val="24"/>
              </w:rPr>
            </w:pPr>
            <w:r>
              <w:rPr>
                <w:rFonts w:hint="eastAsia"/>
                <w:sz w:val="24"/>
                <w:szCs w:val="24"/>
              </w:rPr>
              <w:t>数量：</w:t>
            </w:r>
            <w:r>
              <w:rPr>
                <w:sz w:val="24"/>
                <w:szCs w:val="24"/>
              </w:rPr>
              <w:t xml:space="preserve"> </w:t>
            </w:r>
            <w:r>
              <w:rPr>
                <w:rFonts w:hint="eastAsia"/>
                <w:sz w:val="24"/>
                <w:szCs w:val="24"/>
              </w:rPr>
              <w:t>1</w:t>
            </w:r>
          </w:p>
          <w:p w14:paraId="4A1A4DF5">
            <w:pPr>
              <w:jc w:val="left"/>
              <w:rPr>
                <w:rFonts w:hint="default" w:eastAsiaTheme="minorEastAsia"/>
                <w:sz w:val="28"/>
                <w:szCs w:val="28"/>
                <w:lang w:val="en-US" w:eastAsia="zh-CN"/>
              </w:rPr>
            </w:pPr>
            <w:r>
              <w:rPr>
                <w:rFonts w:hint="eastAsia"/>
                <w:sz w:val="24"/>
                <w:szCs w:val="24"/>
              </w:rPr>
              <w:t>2、用途：</w:t>
            </w:r>
            <w:r>
              <w:rPr>
                <w:rFonts w:hint="eastAsia"/>
                <w:sz w:val="24"/>
                <w:szCs w:val="24"/>
                <w:lang w:val="en-US" w:eastAsia="zh-CN"/>
              </w:rPr>
              <w:t>适配于我院开展的三维电生理相关检查治疗项目</w:t>
            </w:r>
          </w:p>
        </w:tc>
      </w:tr>
      <w:tr w14:paraId="32F2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10171" w:type="dxa"/>
          </w:tcPr>
          <w:p w14:paraId="12D2A725">
            <w:pPr>
              <w:rPr>
                <w:b/>
                <w:bCs/>
                <w:sz w:val="28"/>
                <w:szCs w:val="28"/>
              </w:rPr>
            </w:pPr>
            <w:r>
              <w:rPr>
                <w:rFonts w:hint="eastAsia"/>
              </w:rPr>
              <w:t xml:space="preserve">                                   </w:t>
            </w:r>
            <w:r>
              <w:rPr>
                <w:rFonts w:hint="eastAsia"/>
                <w:b/>
                <w:bCs/>
                <w:sz w:val="28"/>
                <w:szCs w:val="28"/>
              </w:rPr>
              <w:t>主要功能及参数</w:t>
            </w:r>
          </w:p>
          <w:p w14:paraId="39A4CBA5">
            <w:pPr>
              <w:widowControl/>
              <w:jc w:val="left"/>
              <w:rPr>
                <w:rFonts w:ascii="宋体" w:hAnsi="宋体" w:eastAsia="宋体" w:cs="宋体"/>
                <w:sz w:val="24"/>
                <w:szCs w:val="24"/>
              </w:rPr>
            </w:pPr>
            <w:r>
              <w:rPr>
                <w:rFonts w:hint="eastAsia" w:ascii="宋体" w:hAnsi="宋体" w:eastAsia="宋体" w:cs="宋体"/>
                <w:sz w:val="24"/>
                <w:szCs w:val="24"/>
              </w:rPr>
              <w:t>1.1采用磁场和电场混合定位原理,定位精度高，抗干扰能力强，多导管可视化，无扭曲变形（提供证明文件）。</w:t>
            </w:r>
          </w:p>
          <w:p w14:paraId="5CC17321">
            <w:pPr>
              <w:widowControl/>
              <w:jc w:val="left"/>
              <w:rPr>
                <w:rFonts w:ascii="宋体" w:hAnsi="宋体" w:eastAsia="宋体" w:cs="宋体"/>
                <w:sz w:val="24"/>
                <w:szCs w:val="24"/>
              </w:rPr>
            </w:pPr>
            <w:r>
              <w:rPr>
                <w:rFonts w:hint="eastAsia" w:ascii="宋体" w:hAnsi="宋体" w:eastAsia="宋体" w:cs="宋体"/>
                <w:sz w:val="24"/>
                <w:szCs w:val="24"/>
              </w:rPr>
              <w:t>1.2定位板有九个磁线圈，采用三个参考电极，避免了病人移位需要重新建模的问题。</w:t>
            </w:r>
          </w:p>
          <w:p w14:paraId="7AB2E1AB">
            <w:pPr>
              <w:widowControl/>
              <w:jc w:val="left"/>
              <w:rPr>
                <w:rFonts w:ascii="宋体" w:hAnsi="宋体" w:eastAsia="宋体" w:cs="宋体"/>
                <w:sz w:val="24"/>
                <w:szCs w:val="24"/>
              </w:rPr>
            </w:pPr>
            <w:r>
              <w:rPr>
                <w:rFonts w:hint="eastAsia" w:ascii="宋体" w:hAnsi="宋体" w:eastAsia="宋体" w:cs="宋体"/>
                <w:sz w:val="24"/>
                <w:szCs w:val="24"/>
              </w:rPr>
              <w:t>1.3具有影像化快速建模功能，能快速建立心脏三维模型。</w:t>
            </w:r>
          </w:p>
          <w:p w14:paraId="4C26377C">
            <w:pPr>
              <w:widowControl/>
              <w:jc w:val="left"/>
              <w:rPr>
                <w:rFonts w:ascii="宋体" w:hAnsi="宋体" w:eastAsia="宋体" w:cs="宋体"/>
                <w:sz w:val="24"/>
                <w:szCs w:val="24"/>
              </w:rPr>
            </w:pPr>
            <w:r>
              <w:rPr>
                <w:rFonts w:hint="eastAsia" w:ascii="宋体" w:hAnsi="宋体" w:eastAsia="宋体" w:cs="宋体"/>
                <w:sz w:val="24"/>
                <w:szCs w:val="24"/>
              </w:rPr>
              <w:t>1.4带导管接触力显示功能（显示导管和心脏接触的力度，极大提高1.5一次采集八种心电信息：可同时获得空间解剖，激动顺序，电传导，单极电压，等时图，双极电压，阻抗，网图；加快建模的过程，缩短手术时间。</w:t>
            </w:r>
          </w:p>
          <w:p w14:paraId="05DF6E8D">
            <w:pPr>
              <w:widowControl/>
              <w:jc w:val="left"/>
              <w:rPr>
                <w:rFonts w:ascii="宋体" w:hAnsi="宋体" w:eastAsia="宋体" w:cs="宋体"/>
                <w:sz w:val="24"/>
                <w:szCs w:val="24"/>
              </w:rPr>
            </w:pPr>
            <w:r>
              <w:rPr>
                <w:rFonts w:hint="eastAsia" w:ascii="宋体" w:hAnsi="宋体" w:eastAsia="宋体" w:cs="宋体"/>
                <w:sz w:val="24"/>
                <w:szCs w:val="24"/>
              </w:rPr>
              <w:t>1.6 具有实时压力监测功能，与压力监测导管配合使用时，能准确测量并记录压力监测导管与组织接触的贴靠程度和方向，并以克（g）为单位记录，精度为1g。</w:t>
            </w:r>
          </w:p>
          <w:p w14:paraId="233FEC21">
            <w:pPr>
              <w:widowControl/>
              <w:jc w:val="left"/>
              <w:rPr>
                <w:rFonts w:ascii="宋体" w:hAnsi="宋体" w:eastAsia="宋体" w:cs="宋体"/>
                <w:sz w:val="24"/>
                <w:szCs w:val="24"/>
              </w:rPr>
            </w:pPr>
            <w:r>
              <w:rPr>
                <w:rFonts w:hint="eastAsia" w:ascii="宋体" w:hAnsi="宋体" w:eastAsia="宋体" w:cs="宋体"/>
                <w:sz w:val="24"/>
                <w:szCs w:val="24"/>
              </w:rPr>
              <w:t>1.7厂家在北京、上海等城市能够提供专业的电生理学术交流中心，通过培训课程、模拟训练、动物实验、远程手术直播等多种形式为用户提供标准化的专业知识教育和技能培训。</w:t>
            </w:r>
          </w:p>
          <w:p w14:paraId="0651274B">
            <w:pPr>
              <w:widowControl/>
              <w:jc w:val="left"/>
              <w:rPr>
                <w:rFonts w:ascii="宋体" w:hAnsi="宋体" w:eastAsia="宋体" w:cs="宋体"/>
                <w:sz w:val="24"/>
                <w:szCs w:val="24"/>
              </w:rPr>
            </w:pPr>
            <w:r>
              <w:rPr>
                <w:rFonts w:hint="eastAsia" w:ascii="宋体" w:hAnsi="宋体" w:eastAsia="宋体" w:cs="宋体"/>
                <w:sz w:val="24"/>
                <w:szCs w:val="24"/>
              </w:rPr>
              <w:t>1.8具有CartoSound心内超声影像与三维导航整合功能，实时持续显示超声图像，并与三维导航心腔图无缝整合，能实时监测并发症，手术更安全，并大幅减少射线曝光。</w:t>
            </w:r>
          </w:p>
          <w:p w14:paraId="02B80EFE">
            <w:pPr>
              <w:widowControl/>
              <w:jc w:val="left"/>
              <w:rPr>
                <w:rFonts w:ascii="宋体" w:hAnsi="宋体" w:eastAsia="宋体" w:cs="宋体"/>
                <w:sz w:val="24"/>
                <w:szCs w:val="24"/>
              </w:rPr>
            </w:pPr>
            <w:r>
              <w:rPr>
                <w:rFonts w:hint="eastAsia" w:ascii="宋体" w:hAnsi="宋体" w:eastAsia="宋体" w:cs="宋体"/>
                <w:sz w:val="24"/>
                <w:szCs w:val="24"/>
              </w:rPr>
              <w:t>（2）射频消融灌注系统技术参数</w:t>
            </w:r>
          </w:p>
          <w:p w14:paraId="4ECA4D1F">
            <w:pPr>
              <w:widowControl/>
              <w:jc w:val="left"/>
              <w:rPr>
                <w:rFonts w:ascii="宋体" w:hAnsi="宋体" w:eastAsia="宋体" w:cs="宋体"/>
                <w:sz w:val="24"/>
                <w:szCs w:val="24"/>
              </w:rPr>
            </w:pPr>
            <w:r>
              <w:rPr>
                <w:rFonts w:hint="eastAsia" w:ascii="宋体" w:hAnsi="宋体" w:eastAsia="宋体" w:cs="宋体"/>
                <w:sz w:val="24"/>
                <w:szCs w:val="24"/>
              </w:rPr>
              <w:t>2.1兼容所有电阻型、电偶型和非温控型消融导管。</w:t>
            </w:r>
          </w:p>
          <w:p w14:paraId="1EFA47C0">
            <w:pPr>
              <w:widowControl/>
              <w:jc w:val="left"/>
              <w:rPr>
                <w:rFonts w:ascii="宋体" w:hAnsi="宋体" w:eastAsia="宋体" w:cs="宋体"/>
                <w:sz w:val="24"/>
                <w:szCs w:val="24"/>
              </w:rPr>
            </w:pPr>
            <w:r>
              <w:rPr>
                <w:rFonts w:hint="eastAsia" w:ascii="宋体" w:hAnsi="宋体" w:eastAsia="宋体" w:cs="宋体"/>
                <w:sz w:val="24"/>
                <w:szCs w:val="24"/>
              </w:rPr>
              <w:t>2.2能与灌注泵联合使用，并在射频仪上设置灌注泵的参数。兼容使用6孔和56孔冷盐水灌注导管。</w:t>
            </w:r>
          </w:p>
          <w:p w14:paraId="4AC61AD2">
            <w:pPr>
              <w:widowControl/>
              <w:jc w:val="left"/>
              <w:rPr>
                <w:rFonts w:ascii="宋体" w:hAnsi="宋体" w:eastAsia="宋体" w:cs="宋体"/>
                <w:sz w:val="24"/>
                <w:szCs w:val="24"/>
              </w:rPr>
            </w:pPr>
            <w:r>
              <w:rPr>
                <w:rFonts w:hint="eastAsia" w:ascii="宋体" w:hAnsi="宋体" w:eastAsia="宋体" w:cs="宋体"/>
                <w:sz w:val="24"/>
                <w:szCs w:val="24"/>
              </w:rPr>
              <w:t>2.3能与远程控制面板联合使用，在观察室远程操纵射频仪。</w:t>
            </w:r>
          </w:p>
          <w:p w14:paraId="7FFFF2B6">
            <w:pPr>
              <w:widowControl/>
              <w:jc w:val="left"/>
              <w:rPr>
                <w:rFonts w:ascii="宋体" w:hAnsi="宋体" w:eastAsia="宋体" w:cs="宋体"/>
                <w:sz w:val="24"/>
                <w:szCs w:val="24"/>
              </w:rPr>
            </w:pPr>
            <w:bookmarkStart w:id="0" w:name="_GoBack"/>
            <w:bookmarkEnd w:id="0"/>
            <w:r>
              <w:rPr>
                <w:rFonts w:hint="eastAsia" w:ascii="宋体" w:hAnsi="宋体" w:eastAsia="宋体" w:cs="宋体"/>
                <w:sz w:val="24"/>
                <w:szCs w:val="24"/>
              </w:rPr>
              <w:t>2.4可在三维系统上显示消融参数。</w:t>
            </w:r>
          </w:p>
          <w:p w14:paraId="25BAA396">
            <w:pPr>
              <w:widowControl/>
              <w:jc w:val="left"/>
              <w:rPr>
                <w:rFonts w:hint="eastAsia" w:ascii="宋体" w:hAnsi="宋体" w:eastAsia="宋体" w:cs="宋体"/>
                <w:sz w:val="24"/>
                <w:szCs w:val="24"/>
              </w:rPr>
            </w:pPr>
            <w:r>
              <w:rPr>
                <w:rFonts w:hint="eastAsia" w:ascii="宋体" w:hAnsi="宋体" w:eastAsia="宋体" w:cs="宋体"/>
                <w:sz w:val="24"/>
                <w:szCs w:val="24"/>
              </w:rPr>
              <w:t>2.5灌注泵可连续运行，流速精确度，能以颜色和图象直观显示皮条装载情况和气泡排出情况。以图像显示错误提示。</w:t>
            </w:r>
          </w:p>
          <w:p w14:paraId="7E740890">
            <w:pPr>
              <w:widowControl/>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sz w:val="24"/>
                <w:szCs w:val="24"/>
                <w:lang w:val="en-US" w:eastAsia="zh-CN"/>
              </w:rPr>
              <w:t>适配于我院开展的三维电生理相关检查治疗项目，如不适配，请提供解决方案。</w:t>
            </w:r>
          </w:p>
        </w:tc>
      </w:tr>
      <w:tr w14:paraId="408F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1" w:type="dxa"/>
          </w:tcPr>
          <w:p w14:paraId="03C9A2AE">
            <w:pPr>
              <w:ind w:firstLine="3654" w:firstLineChars="1300"/>
              <w:rPr>
                <w:b/>
                <w:bCs/>
                <w:sz w:val="28"/>
                <w:szCs w:val="28"/>
              </w:rPr>
            </w:pPr>
            <w:r>
              <w:rPr>
                <w:rFonts w:hint="eastAsia"/>
                <w:b/>
                <w:bCs/>
                <w:sz w:val="28"/>
                <w:szCs w:val="28"/>
              </w:rPr>
              <w:t>主要配置及附件</w:t>
            </w:r>
          </w:p>
          <w:p w14:paraId="09D786DE">
            <w:pPr>
              <w:widowControl/>
              <w:spacing w:before="40" w:line="36" w:lineRule="atLeast"/>
              <w:ind w:left="880" w:hanging="280"/>
              <w:rPr>
                <w:rFonts w:hint="default" w:ascii="-webkit-standard" w:hAnsi="-webkit-standard" w:eastAsia="宋体" w:cs="-webkit-standard"/>
                <w:color w:val="000000"/>
                <w:sz w:val="24"/>
                <w:szCs w:val="24"/>
                <w:lang w:val="en-US" w:eastAsia="zh-CN"/>
              </w:rPr>
            </w:pPr>
            <w:r>
              <w:rPr>
                <w:rFonts w:ascii="Calibri" w:hAnsi="Calibri" w:eastAsia="-webkit-standard" w:cs="Calibri"/>
                <w:b/>
                <w:bCs/>
                <w:color w:val="000000"/>
                <w:kern w:val="0"/>
                <w:sz w:val="20"/>
                <w:szCs w:val="20"/>
              </w:rPr>
              <w:t>1.</w:t>
            </w:r>
            <w:r>
              <w:rPr>
                <w:rFonts w:ascii="-webkit-standard" w:hAnsi="-webkit-standard" w:eastAsia="-webkit-standard" w:cs="-webkit-standard"/>
                <w:b/>
                <w:bCs/>
                <w:color w:val="000000"/>
                <w:kern w:val="0"/>
                <w:sz w:val="24"/>
                <w:szCs w:val="24"/>
              </w:rPr>
              <w:t>三维</w:t>
            </w:r>
            <w:r>
              <w:rPr>
                <w:rFonts w:hint="eastAsia" w:ascii="宋体" w:hAnsi="宋体" w:eastAsia="宋体" w:cs="宋体"/>
                <w:b/>
                <w:bCs/>
                <w:color w:val="000000"/>
                <w:kern w:val="0"/>
                <w:sz w:val="24"/>
                <w:szCs w:val="24"/>
              </w:rPr>
              <w:t>电生理导航系统</w:t>
            </w:r>
            <w:r>
              <w:rPr>
                <w:rFonts w:hint="eastAsia" w:ascii="宋体" w:hAnsi="宋体" w:eastAsia="宋体" w:cs="宋体"/>
                <w:b/>
                <w:bCs/>
                <w:color w:val="000000"/>
                <w:kern w:val="0"/>
                <w:sz w:val="24"/>
                <w:szCs w:val="24"/>
                <w:lang w:val="en-US" w:eastAsia="zh-CN"/>
              </w:rPr>
              <w:t>1台</w:t>
            </w:r>
          </w:p>
          <w:p w14:paraId="1E54DDCB">
            <w:pPr>
              <w:widowControl/>
              <w:spacing w:before="40" w:line="36" w:lineRule="atLeast"/>
              <w:ind w:left="880" w:hanging="280"/>
              <w:rPr>
                <w:rFonts w:hint="default" w:eastAsia="宋体"/>
                <w:b/>
                <w:bCs/>
                <w:sz w:val="28"/>
                <w:szCs w:val="28"/>
                <w:lang w:val="en-US" w:eastAsia="zh-CN"/>
              </w:rPr>
            </w:pPr>
            <w:r>
              <w:rPr>
                <w:rFonts w:ascii="Calibri" w:hAnsi="Calibri" w:eastAsia="-webkit-standard" w:cs="Calibri"/>
                <w:b/>
                <w:bCs/>
                <w:color w:val="000000"/>
                <w:kern w:val="0"/>
                <w:sz w:val="20"/>
                <w:szCs w:val="20"/>
              </w:rPr>
              <w:t>2.</w:t>
            </w:r>
            <w:r>
              <w:rPr>
                <w:rFonts w:hint="eastAsia" w:ascii="宋体" w:hAnsi="宋体" w:eastAsia="宋体" w:cs="宋体"/>
                <w:b/>
                <w:bCs/>
                <w:color w:val="000000"/>
                <w:kern w:val="0"/>
                <w:sz w:val="24"/>
                <w:szCs w:val="24"/>
              </w:rPr>
              <w:t>射频消融灌注系统</w:t>
            </w:r>
            <w:r>
              <w:rPr>
                <w:rFonts w:hint="eastAsia" w:ascii="宋体" w:hAnsi="宋体" w:eastAsia="宋体" w:cs="宋体"/>
                <w:b/>
                <w:bCs/>
                <w:color w:val="000000"/>
                <w:kern w:val="0"/>
                <w:sz w:val="24"/>
                <w:szCs w:val="24"/>
                <w:lang w:val="en-US" w:eastAsia="zh-CN"/>
              </w:rPr>
              <w:t>1台</w:t>
            </w:r>
          </w:p>
        </w:tc>
      </w:tr>
      <w:tr w14:paraId="721E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1" w:type="dxa"/>
          </w:tcPr>
          <w:p w14:paraId="1572EE4D">
            <w:pPr>
              <w:rPr>
                <w:b/>
                <w:bCs/>
                <w:sz w:val="28"/>
                <w:szCs w:val="28"/>
              </w:rPr>
            </w:pPr>
            <w:r>
              <w:rPr>
                <w:rFonts w:hint="eastAsia"/>
              </w:rPr>
              <w:t xml:space="preserve">                                    </w:t>
            </w:r>
            <w:r>
              <w:rPr>
                <w:rFonts w:hint="eastAsia"/>
                <w:b/>
                <w:bCs/>
                <w:sz w:val="28"/>
                <w:szCs w:val="28"/>
              </w:rPr>
              <w:t>售后服务要求</w:t>
            </w:r>
          </w:p>
          <w:p w14:paraId="1D5723BF">
            <w:pPr>
              <w:numPr>
                <w:ilvl w:val="0"/>
                <w:numId w:val="2"/>
              </w:numPr>
              <w:rPr>
                <w:rFonts w:asciiTheme="minorEastAsia" w:hAnsiTheme="minorEastAsia"/>
                <w:sz w:val="24"/>
                <w:szCs w:val="24"/>
              </w:rPr>
            </w:pPr>
            <w:r>
              <w:rPr>
                <w:rFonts w:hint="eastAsia"/>
                <w:sz w:val="24"/>
                <w:szCs w:val="24"/>
              </w:rPr>
              <w:t>提供</w:t>
            </w:r>
            <w:r>
              <w:rPr>
                <w:rFonts w:hint="eastAsia" w:asciiTheme="minorEastAsia" w:hAnsiTheme="minorEastAsia"/>
                <w:sz w:val="24"/>
                <w:szCs w:val="24"/>
              </w:rPr>
              <w:t>医疗器械注册证、生产许可证、营业执照（含租赁资质）、出厂质检合格证明；</w:t>
            </w:r>
          </w:p>
          <w:p w14:paraId="4C66AB6D">
            <w:pPr>
              <w:numPr>
                <w:ilvl w:val="0"/>
                <w:numId w:val="2"/>
              </w:numPr>
              <w:rPr>
                <w:rFonts w:asciiTheme="minorEastAsia" w:hAnsiTheme="minorEastAsia"/>
                <w:sz w:val="24"/>
                <w:szCs w:val="24"/>
              </w:rPr>
            </w:pPr>
            <w:r>
              <w:rPr>
                <w:rFonts w:hint="eastAsia" w:asciiTheme="minorEastAsia" w:hAnsiTheme="minorEastAsia"/>
                <w:sz w:val="24"/>
                <w:szCs w:val="24"/>
              </w:rPr>
              <w:t>提供用户操作手册、操作规程，</w:t>
            </w:r>
            <w:r>
              <w:rPr>
                <w:rFonts w:asciiTheme="minorEastAsia" w:hAnsiTheme="minorEastAsia"/>
                <w:sz w:val="24"/>
                <w:szCs w:val="24"/>
              </w:rPr>
              <w:t>根据医院需求提供操作培训</w:t>
            </w:r>
            <w:r>
              <w:rPr>
                <w:rFonts w:hint="eastAsia" w:asciiTheme="minorEastAsia" w:hAnsiTheme="minorEastAsia"/>
                <w:sz w:val="24"/>
                <w:szCs w:val="24"/>
              </w:rPr>
              <w:t>；</w:t>
            </w:r>
          </w:p>
          <w:p w14:paraId="0E02641B">
            <w:pPr>
              <w:numPr>
                <w:ilvl w:val="0"/>
                <w:numId w:val="2"/>
              </w:numPr>
              <w:rPr>
                <w:rFonts w:asciiTheme="minorEastAsia" w:hAnsiTheme="minorEastAsia"/>
                <w:sz w:val="24"/>
                <w:szCs w:val="24"/>
              </w:rPr>
            </w:pPr>
            <w:r>
              <w:rPr>
                <w:rFonts w:hint="eastAsia" w:asciiTheme="minorEastAsia" w:hAnsiTheme="minorEastAsia"/>
                <w:sz w:val="24"/>
                <w:szCs w:val="24"/>
              </w:rPr>
              <w:t>租赁期3年，租赁期内供应商承担设备维护保养、质检校准、计量检测、维修耗材，系统免费升级；</w:t>
            </w:r>
          </w:p>
          <w:p w14:paraId="7C94C55D">
            <w:pPr>
              <w:numPr>
                <w:ilvl w:val="0"/>
                <w:numId w:val="2"/>
              </w:numPr>
              <w:rPr>
                <w:rFonts w:asciiTheme="minorEastAsia" w:hAnsiTheme="minorEastAsia"/>
                <w:sz w:val="24"/>
                <w:szCs w:val="24"/>
              </w:rPr>
            </w:pPr>
            <w:r>
              <w:rPr>
                <w:rFonts w:hint="eastAsia" w:asciiTheme="minorEastAsia" w:hAnsiTheme="minorEastAsia"/>
                <w:sz w:val="24"/>
                <w:szCs w:val="24"/>
              </w:rPr>
              <w:t>若设备发生故障，维修4小时内响应，无法及时修复则需提供相同品牌、规格型号的备用机，保证医院工作正常开展；</w:t>
            </w:r>
          </w:p>
          <w:p w14:paraId="44FEBB55">
            <w:pPr>
              <w:numPr>
                <w:ilvl w:val="0"/>
                <w:numId w:val="2"/>
              </w:numPr>
              <w:rPr>
                <w:rFonts w:asciiTheme="minorEastAsia" w:hAnsiTheme="minorEastAsia"/>
                <w:sz w:val="24"/>
                <w:szCs w:val="24"/>
              </w:rPr>
            </w:pPr>
            <w:r>
              <w:rPr>
                <w:rFonts w:hint="eastAsia" w:asciiTheme="minorEastAsia" w:hAnsiTheme="minorEastAsia"/>
                <w:sz w:val="24"/>
                <w:szCs w:val="24"/>
              </w:rPr>
              <w:t>供应商需承担设备在安装调试、维护保养、质检校准过程中产生的试剂消耗；</w:t>
            </w:r>
          </w:p>
          <w:p w14:paraId="4330C2B9">
            <w:pPr>
              <w:numPr>
                <w:ilvl w:val="0"/>
                <w:numId w:val="2"/>
              </w:numPr>
              <w:rPr>
                <w:rFonts w:asciiTheme="minorEastAsia" w:hAnsiTheme="minorEastAsia"/>
                <w:sz w:val="24"/>
                <w:szCs w:val="24"/>
              </w:rPr>
            </w:pPr>
            <w:r>
              <w:rPr>
                <w:rFonts w:hint="eastAsia" w:asciiTheme="minorEastAsia" w:hAnsiTheme="minorEastAsia"/>
                <w:sz w:val="24"/>
                <w:szCs w:val="24"/>
              </w:rPr>
              <w:t>供应商需承担设备运行过程中产生的其他耗材费用；</w:t>
            </w:r>
          </w:p>
          <w:p w14:paraId="5AC1CD66">
            <w:pPr>
              <w:numPr>
                <w:ilvl w:val="0"/>
                <w:numId w:val="2"/>
              </w:numPr>
              <w:rPr>
                <w:rFonts w:asciiTheme="minorEastAsia" w:hAnsiTheme="minorEastAsia"/>
                <w:sz w:val="24"/>
                <w:szCs w:val="24"/>
              </w:rPr>
            </w:pPr>
            <w:r>
              <w:rPr>
                <w:rFonts w:hint="eastAsia" w:asciiTheme="minorEastAsia" w:hAnsiTheme="minorEastAsia"/>
                <w:sz w:val="24"/>
                <w:szCs w:val="24"/>
              </w:rPr>
              <w:t>租赁期内，因设备质量问题造成医院损失的，由供应商承担全部责任；</w:t>
            </w:r>
          </w:p>
          <w:p w14:paraId="37A6DA80">
            <w:pPr>
              <w:rPr>
                <w:rFonts w:asciiTheme="minorEastAsia" w:hAnsiTheme="minorEastAsia"/>
                <w:sz w:val="24"/>
                <w:szCs w:val="24"/>
              </w:rPr>
            </w:pPr>
            <w:r>
              <w:rPr>
                <w:rFonts w:hint="eastAsia" w:asciiTheme="minorEastAsia" w:hAnsiTheme="minorEastAsia"/>
                <w:sz w:val="24"/>
                <w:szCs w:val="24"/>
              </w:rPr>
              <w:t>8、交货期：合同签订后1个月内。</w:t>
            </w:r>
          </w:p>
        </w:tc>
      </w:tr>
    </w:tbl>
    <w:p w14:paraId="0F201C06">
      <w:pPr>
        <w:ind w:left="-991" w:leftChars="-472"/>
        <w:rPr>
          <w:sz w:val="28"/>
          <w:szCs w:val="28"/>
        </w:rPr>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E75BE"/>
    <w:multiLevelType w:val="singleLevel"/>
    <w:tmpl w:val="859E75BE"/>
    <w:lvl w:ilvl="0" w:tentative="0">
      <w:start w:val="1"/>
      <w:numFmt w:val="decimal"/>
      <w:suff w:val="nothing"/>
      <w:lvlText w:val="%1、"/>
      <w:lvlJc w:val="left"/>
    </w:lvl>
  </w:abstractNum>
  <w:abstractNum w:abstractNumId="1">
    <w:nsid w:val="6AA6DFBC"/>
    <w:multiLevelType w:val="singleLevel"/>
    <w:tmpl w:val="6AA6DFB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2U1MzM0NDYzZmJjNWEwNTVjNmYxMjliZmE4MmUifQ=="/>
  </w:docVars>
  <w:rsids>
    <w:rsidRoot w:val="00BA3862"/>
    <w:rsid w:val="0001697D"/>
    <w:rsid w:val="000416E4"/>
    <w:rsid w:val="00047AFE"/>
    <w:rsid w:val="00047F6D"/>
    <w:rsid w:val="00126A12"/>
    <w:rsid w:val="00191A89"/>
    <w:rsid w:val="00195ED7"/>
    <w:rsid w:val="001C5D21"/>
    <w:rsid w:val="00232854"/>
    <w:rsid w:val="00252BB1"/>
    <w:rsid w:val="00265352"/>
    <w:rsid w:val="00281CFE"/>
    <w:rsid w:val="002A0188"/>
    <w:rsid w:val="002C16D8"/>
    <w:rsid w:val="002C4943"/>
    <w:rsid w:val="00314DD5"/>
    <w:rsid w:val="00321A15"/>
    <w:rsid w:val="00366175"/>
    <w:rsid w:val="003D054B"/>
    <w:rsid w:val="003E0222"/>
    <w:rsid w:val="003F5E17"/>
    <w:rsid w:val="00425673"/>
    <w:rsid w:val="0046271F"/>
    <w:rsid w:val="0046781E"/>
    <w:rsid w:val="004A711D"/>
    <w:rsid w:val="004B4445"/>
    <w:rsid w:val="004C3A9A"/>
    <w:rsid w:val="004C499F"/>
    <w:rsid w:val="0053475B"/>
    <w:rsid w:val="0054026E"/>
    <w:rsid w:val="00542261"/>
    <w:rsid w:val="00574FEA"/>
    <w:rsid w:val="005763EC"/>
    <w:rsid w:val="00597EEF"/>
    <w:rsid w:val="005A0719"/>
    <w:rsid w:val="005B7F5E"/>
    <w:rsid w:val="00631D1E"/>
    <w:rsid w:val="00632676"/>
    <w:rsid w:val="00651A27"/>
    <w:rsid w:val="00657EF5"/>
    <w:rsid w:val="00677EE5"/>
    <w:rsid w:val="00693CD5"/>
    <w:rsid w:val="006B5B28"/>
    <w:rsid w:val="006D1FAA"/>
    <w:rsid w:val="006E3FF6"/>
    <w:rsid w:val="00730A61"/>
    <w:rsid w:val="00762F7C"/>
    <w:rsid w:val="0079136C"/>
    <w:rsid w:val="00791C94"/>
    <w:rsid w:val="007A4B2E"/>
    <w:rsid w:val="007B4A22"/>
    <w:rsid w:val="007E43B7"/>
    <w:rsid w:val="007F04B8"/>
    <w:rsid w:val="0083396F"/>
    <w:rsid w:val="0083519F"/>
    <w:rsid w:val="008869B2"/>
    <w:rsid w:val="008B4EAD"/>
    <w:rsid w:val="008F270E"/>
    <w:rsid w:val="009009E0"/>
    <w:rsid w:val="009054EC"/>
    <w:rsid w:val="00907088"/>
    <w:rsid w:val="009100CB"/>
    <w:rsid w:val="00953804"/>
    <w:rsid w:val="00981568"/>
    <w:rsid w:val="009A2837"/>
    <w:rsid w:val="009D47BF"/>
    <w:rsid w:val="00A26C29"/>
    <w:rsid w:val="00A33550"/>
    <w:rsid w:val="00AA4CB1"/>
    <w:rsid w:val="00AE0A62"/>
    <w:rsid w:val="00B3366C"/>
    <w:rsid w:val="00B6565F"/>
    <w:rsid w:val="00B82801"/>
    <w:rsid w:val="00B8544C"/>
    <w:rsid w:val="00B90844"/>
    <w:rsid w:val="00B90F1B"/>
    <w:rsid w:val="00BA3070"/>
    <w:rsid w:val="00BA3862"/>
    <w:rsid w:val="00BB01B3"/>
    <w:rsid w:val="00BB2A73"/>
    <w:rsid w:val="00BF2698"/>
    <w:rsid w:val="00C26477"/>
    <w:rsid w:val="00C52EF4"/>
    <w:rsid w:val="00C9394F"/>
    <w:rsid w:val="00C94429"/>
    <w:rsid w:val="00CA11E8"/>
    <w:rsid w:val="00CA1B23"/>
    <w:rsid w:val="00CD3124"/>
    <w:rsid w:val="00D5371B"/>
    <w:rsid w:val="00D71FFB"/>
    <w:rsid w:val="00D759C9"/>
    <w:rsid w:val="00D75AFB"/>
    <w:rsid w:val="00D84895"/>
    <w:rsid w:val="00DD68BF"/>
    <w:rsid w:val="00E41A6C"/>
    <w:rsid w:val="00E52B45"/>
    <w:rsid w:val="00E87441"/>
    <w:rsid w:val="00E87D33"/>
    <w:rsid w:val="00E925B2"/>
    <w:rsid w:val="00EA03D2"/>
    <w:rsid w:val="00ED4FC3"/>
    <w:rsid w:val="00F31A99"/>
    <w:rsid w:val="00F37313"/>
    <w:rsid w:val="00F45C7B"/>
    <w:rsid w:val="00F7563E"/>
    <w:rsid w:val="00FB4D34"/>
    <w:rsid w:val="10681467"/>
    <w:rsid w:val="21C66766"/>
    <w:rsid w:val="23294AEC"/>
    <w:rsid w:val="28CD45E6"/>
    <w:rsid w:val="2A2D0F5F"/>
    <w:rsid w:val="3545432D"/>
    <w:rsid w:val="3699519F"/>
    <w:rsid w:val="39BC5F9B"/>
    <w:rsid w:val="43497793"/>
    <w:rsid w:val="43A87259"/>
    <w:rsid w:val="45D5748E"/>
    <w:rsid w:val="4E2D2F3B"/>
    <w:rsid w:val="50296C27"/>
    <w:rsid w:val="5B915382"/>
    <w:rsid w:val="61900F75"/>
    <w:rsid w:val="626C7F85"/>
    <w:rsid w:val="650E51BC"/>
    <w:rsid w:val="68B43AD8"/>
    <w:rsid w:val="6F697516"/>
    <w:rsid w:val="FBBED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1002</Words>
  <Characters>1046</Characters>
  <Lines>9</Lines>
  <Paragraphs>2</Paragraphs>
  <TotalTime>15</TotalTime>
  <ScaleCrop>false</ScaleCrop>
  <LinksUpToDate>false</LinksUpToDate>
  <CharactersWithSpaces>1157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2025-01-24T00:46:00Z</dcterms:created>
  <dc:creator>sbk</dc:creator>
  <cp:lastModifiedBy>Nicole</cp:lastModifiedBy>
  <dcterms:modified xsi:type="dcterms:W3CDTF">2025-02-07T02:18:03Z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FA18205E90A743AABAD1E69D0E5C8A66_13</vt:lpwstr>
  </property>
  <property fmtid="{D5CDD505-2E9C-101B-9397-08002B2CF9AE}" pid="4" name="KSOTemplateDocerSaveRecord">
    <vt:lpwstr>eyJoZGlkIjoiMTAxZTlhZjVlOTUwMjk0MjVkODJkNThhOWFkYzQzYjciLCJ1c2VySWQiOiIyNTE3NjAwMzYifQ==</vt:lpwstr>
  </property>
</Properties>
</file>