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437" w:tblpY="139"/>
        <w:tblOverlap w:val="never"/>
        <w:tblW w:w="6554" w:type="pct"/>
        <w:tblLook w:val="04A0" w:firstRow="1" w:lastRow="0" w:firstColumn="1" w:lastColumn="0" w:noHBand="0" w:noVBand="1"/>
      </w:tblPr>
      <w:tblGrid>
        <w:gridCol w:w="1030"/>
        <w:gridCol w:w="1765"/>
        <w:gridCol w:w="8376"/>
      </w:tblGrid>
      <w:tr w:rsidR="00665AD2" w14:paraId="5FB03A44" w14:textId="77777777" w:rsidTr="001F3D14">
        <w:trPr>
          <w:trHeight w:val="604"/>
        </w:trPr>
        <w:tc>
          <w:tcPr>
            <w:tcW w:w="1251" w:type="pct"/>
            <w:gridSpan w:val="2"/>
          </w:tcPr>
          <w:p w14:paraId="097EEF5A" w14:textId="77777777" w:rsidR="00665AD2" w:rsidRDefault="00FF6E05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目名称</w:t>
            </w:r>
          </w:p>
        </w:tc>
        <w:tc>
          <w:tcPr>
            <w:tcW w:w="3749" w:type="pct"/>
            <w:vAlign w:val="center"/>
          </w:tcPr>
          <w:p w14:paraId="604E4495" w14:textId="77777777" w:rsidR="00665AD2" w:rsidRDefault="00FF6E05" w:rsidP="001F3D14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麻醉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机</w:t>
            </w:r>
          </w:p>
        </w:tc>
      </w:tr>
      <w:tr w:rsidR="00665AD2" w14:paraId="4730B426" w14:textId="77777777" w:rsidTr="001F3D14">
        <w:trPr>
          <w:trHeight w:val="604"/>
        </w:trPr>
        <w:tc>
          <w:tcPr>
            <w:tcW w:w="1251" w:type="pct"/>
            <w:gridSpan w:val="2"/>
          </w:tcPr>
          <w:p w14:paraId="20CCD9DC" w14:textId="77777777" w:rsidR="00665AD2" w:rsidRDefault="00FF6E05">
            <w:pPr>
              <w:tabs>
                <w:tab w:val="left" w:pos="874"/>
              </w:tabs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9" w:type="pct"/>
            <w:vAlign w:val="center"/>
          </w:tcPr>
          <w:p w14:paraId="258C7316" w14:textId="77777777" w:rsidR="00665AD2" w:rsidRDefault="00FF6E05" w:rsidP="001F3D14">
            <w:pPr>
              <w:jc w:val="center"/>
            </w:pPr>
            <w:r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麻醉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科</w:t>
            </w:r>
            <w:bookmarkStart w:id="0" w:name="_GoBack"/>
            <w:bookmarkEnd w:id="0"/>
          </w:p>
        </w:tc>
      </w:tr>
      <w:tr w:rsidR="00665AD2" w14:paraId="4F21E568" w14:textId="77777777" w:rsidTr="002C493A">
        <w:trPr>
          <w:trHeight w:val="287"/>
        </w:trPr>
        <w:tc>
          <w:tcPr>
            <w:tcW w:w="461" w:type="pct"/>
          </w:tcPr>
          <w:p w14:paraId="3A8E589D" w14:textId="77777777" w:rsidR="00665AD2" w:rsidRDefault="00FF6E05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539" w:type="pct"/>
            <w:gridSpan w:val="2"/>
          </w:tcPr>
          <w:p w14:paraId="77692B76" w14:textId="77777777" w:rsidR="00665AD2" w:rsidRDefault="00FF6E05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665AD2" w14:paraId="7A0D3CAE" w14:textId="77777777" w:rsidTr="002C493A">
        <w:trPr>
          <w:trHeight w:val="287"/>
        </w:trPr>
        <w:tc>
          <w:tcPr>
            <w:tcW w:w="461" w:type="pct"/>
          </w:tcPr>
          <w:p w14:paraId="6D0B1674" w14:textId="77777777" w:rsidR="00665AD2" w:rsidRDefault="00FF6E05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4539" w:type="pct"/>
            <w:gridSpan w:val="2"/>
          </w:tcPr>
          <w:p w14:paraId="4EE1190C" w14:textId="77777777" w:rsidR="00665AD2" w:rsidRDefault="00FF6E0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</w:p>
        </w:tc>
      </w:tr>
      <w:tr w:rsidR="00665AD2" w14:paraId="4BAC685F" w14:textId="77777777" w:rsidTr="002C493A">
        <w:trPr>
          <w:trHeight w:val="287"/>
        </w:trPr>
        <w:tc>
          <w:tcPr>
            <w:tcW w:w="461" w:type="pct"/>
          </w:tcPr>
          <w:p w14:paraId="19D3801B" w14:textId="77777777" w:rsidR="00665AD2" w:rsidRDefault="00FF6E05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539" w:type="pct"/>
            <w:gridSpan w:val="2"/>
          </w:tcPr>
          <w:p w14:paraId="560F2F85" w14:textId="77777777" w:rsidR="00665AD2" w:rsidRDefault="00FF6E0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适合成人、儿童及新生儿患者进行吸入麻醉和呼吸管理；</w:t>
            </w:r>
          </w:p>
        </w:tc>
      </w:tr>
      <w:tr w:rsidR="00665AD2" w14:paraId="10D57E3F" w14:textId="77777777" w:rsidTr="002C493A">
        <w:trPr>
          <w:trHeight w:val="287"/>
        </w:trPr>
        <w:tc>
          <w:tcPr>
            <w:tcW w:w="461" w:type="pct"/>
          </w:tcPr>
          <w:p w14:paraId="325D3362" w14:textId="77777777" w:rsidR="00665AD2" w:rsidRDefault="00FF6E0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539" w:type="pct"/>
            <w:gridSpan w:val="2"/>
          </w:tcPr>
          <w:p w14:paraId="1A5625CB" w14:textId="77777777" w:rsidR="00665AD2" w:rsidRDefault="00FF6E0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665AD2" w14:paraId="3DFC2A6C" w14:textId="77777777" w:rsidTr="002C493A">
        <w:trPr>
          <w:trHeight w:val="287"/>
        </w:trPr>
        <w:tc>
          <w:tcPr>
            <w:tcW w:w="461" w:type="pct"/>
          </w:tcPr>
          <w:p w14:paraId="2E962ACC" w14:textId="77777777" w:rsidR="00665AD2" w:rsidRDefault="00FF6E05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4539" w:type="pct"/>
            <w:gridSpan w:val="2"/>
          </w:tcPr>
          <w:p w14:paraId="4A0C0721" w14:textId="77777777" w:rsidR="00665AD2" w:rsidRDefault="00FF6E0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气动电控或电动电控，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麻醉机通气模式下潮气量范围：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5ml-1500ml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；</w:t>
            </w:r>
          </w:p>
        </w:tc>
      </w:tr>
      <w:tr w:rsidR="00665AD2" w14:paraId="4C4E3F0A" w14:textId="77777777" w:rsidTr="002C493A">
        <w:trPr>
          <w:trHeight w:val="287"/>
        </w:trPr>
        <w:tc>
          <w:tcPr>
            <w:tcW w:w="461" w:type="pct"/>
          </w:tcPr>
          <w:p w14:paraId="3A324530" w14:textId="77777777" w:rsidR="00665AD2" w:rsidRDefault="00FF6E05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4539" w:type="pct"/>
            <w:gridSpan w:val="2"/>
          </w:tcPr>
          <w:p w14:paraId="018EB3C9" w14:textId="77777777" w:rsidR="00665AD2" w:rsidRDefault="00FF6E0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麻醉机配置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VCV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PCV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PCV-VG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SIMV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PSV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、</w:t>
            </w:r>
            <w:bookmarkStart w:id="1" w:name="OLE_LINK1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SIMV-PCV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VG</w:t>
            </w:r>
            <w:bookmarkEnd w:id="1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（或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同类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功能）等常用通气模式；</w:t>
            </w:r>
          </w:p>
        </w:tc>
      </w:tr>
      <w:tr w:rsidR="00665AD2" w14:paraId="46B08AF3" w14:textId="77777777" w:rsidTr="002C493A">
        <w:trPr>
          <w:trHeight w:val="287"/>
        </w:trPr>
        <w:tc>
          <w:tcPr>
            <w:tcW w:w="461" w:type="pct"/>
          </w:tcPr>
          <w:p w14:paraId="609654EA" w14:textId="77777777" w:rsidR="00665AD2" w:rsidRDefault="00FF6E05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4539" w:type="pct"/>
            <w:gridSpan w:val="2"/>
          </w:tcPr>
          <w:p w14:paraId="3C1A3A3A" w14:textId="77777777" w:rsidR="00665AD2" w:rsidRDefault="00FF6E0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麻醉机配置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肺保护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通气功能（最佳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peep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、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彭</w:t>
            </w:r>
            <w:proofErr w:type="gramEnd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肺等）；</w:t>
            </w:r>
          </w:p>
        </w:tc>
      </w:tr>
      <w:tr w:rsidR="00665AD2" w14:paraId="17D31BCF" w14:textId="77777777" w:rsidTr="002C493A">
        <w:trPr>
          <w:trHeight w:val="287"/>
        </w:trPr>
        <w:tc>
          <w:tcPr>
            <w:tcW w:w="461" w:type="pct"/>
          </w:tcPr>
          <w:p w14:paraId="54BC6E0E" w14:textId="77777777" w:rsidR="00665AD2" w:rsidRDefault="00FF6E05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4539" w:type="pct"/>
            <w:gridSpan w:val="2"/>
          </w:tcPr>
          <w:p w14:paraId="1E253A5A" w14:textId="77777777" w:rsidR="00665AD2" w:rsidRDefault="00FF6E0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麻醉气体监测模块：测量、监测和显示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氧气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、麻醉气体、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二氧化碳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的吸入和呼出气体浓度，显示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MAC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等；</w:t>
            </w:r>
          </w:p>
        </w:tc>
      </w:tr>
      <w:tr w:rsidR="00665AD2" w14:paraId="38BF3095" w14:textId="77777777" w:rsidTr="002C493A">
        <w:trPr>
          <w:trHeight w:val="287"/>
        </w:trPr>
        <w:tc>
          <w:tcPr>
            <w:tcW w:w="461" w:type="pct"/>
          </w:tcPr>
          <w:p w14:paraId="12D85C30" w14:textId="77777777" w:rsidR="00665AD2" w:rsidRDefault="00FF6E05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4539" w:type="pct"/>
            <w:gridSpan w:val="2"/>
          </w:tcPr>
          <w:p w14:paraId="371F0D4D" w14:textId="77777777" w:rsidR="00665AD2" w:rsidRDefault="00FF6E0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麻醉机需配置≥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英寸触摸液晶显示屏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流量、氧浓度电子显示，可独立调节互不影响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；</w:t>
            </w:r>
          </w:p>
        </w:tc>
      </w:tr>
      <w:tr w:rsidR="00665AD2" w14:paraId="052ABB9D" w14:textId="77777777" w:rsidTr="002C493A">
        <w:trPr>
          <w:trHeight w:val="287"/>
        </w:trPr>
        <w:tc>
          <w:tcPr>
            <w:tcW w:w="461" w:type="pct"/>
          </w:tcPr>
          <w:p w14:paraId="21081CD0" w14:textId="77777777" w:rsidR="00665AD2" w:rsidRDefault="00FF6E05">
            <w:pPr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2.6</w:t>
            </w:r>
          </w:p>
        </w:tc>
        <w:tc>
          <w:tcPr>
            <w:tcW w:w="4539" w:type="pct"/>
            <w:gridSpan w:val="2"/>
          </w:tcPr>
          <w:p w14:paraId="30D8AE85" w14:textId="77777777" w:rsidR="00665AD2" w:rsidRDefault="00FF6E0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麻醉机配置后备电池，后备电池使用时间≥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90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分钟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；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双罐位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；</w:t>
            </w:r>
          </w:p>
        </w:tc>
      </w:tr>
      <w:tr w:rsidR="00665AD2" w14:paraId="6D9D0E30" w14:textId="77777777" w:rsidTr="002C493A">
        <w:trPr>
          <w:trHeight w:val="287"/>
        </w:trPr>
        <w:tc>
          <w:tcPr>
            <w:tcW w:w="461" w:type="pct"/>
          </w:tcPr>
          <w:p w14:paraId="4FF3356E" w14:textId="77777777" w:rsidR="00665AD2" w:rsidRDefault="00FF6E0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539" w:type="pct"/>
            <w:gridSpan w:val="2"/>
          </w:tcPr>
          <w:p w14:paraId="0D8894C6" w14:textId="77777777" w:rsidR="00665AD2" w:rsidRDefault="00FF6E0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665AD2" w14:paraId="7FCCEA48" w14:textId="77777777" w:rsidTr="002C493A">
        <w:trPr>
          <w:trHeight w:val="308"/>
        </w:trPr>
        <w:tc>
          <w:tcPr>
            <w:tcW w:w="461" w:type="pct"/>
          </w:tcPr>
          <w:p w14:paraId="08730997" w14:textId="77777777" w:rsidR="00665AD2" w:rsidRDefault="00FF6E05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4539" w:type="pct"/>
            <w:gridSpan w:val="2"/>
          </w:tcPr>
          <w:p w14:paraId="12F10FAB" w14:textId="77777777" w:rsidR="00665AD2" w:rsidRDefault="00FF6E05">
            <w:pPr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麻醉机主机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台；七氟醚挥发罐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个（含加药器）；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麻醉气体模块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个；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氧气、空气等连接管各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根；主动麻醉废气排污系统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麻醉药瓶开瓶器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个；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流量传感器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个或流量传感器终身质保；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二氧化碳采样管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75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根；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一次性麻醉回路含一次性皮囊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</w:t>
            </w:r>
          </w:p>
        </w:tc>
      </w:tr>
      <w:tr w:rsidR="00665AD2" w14:paraId="36891B2C" w14:textId="77777777" w:rsidTr="002C493A">
        <w:trPr>
          <w:trHeight w:val="308"/>
        </w:trPr>
        <w:tc>
          <w:tcPr>
            <w:tcW w:w="461" w:type="pct"/>
          </w:tcPr>
          <w:p w14:paraId="2E042530" w14:textId="77777777" w:rsidR="00665AD2" w:rsidRDefault="00FF6E05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539" w:type="pct"/>
            <w:gridSpan w:val="2"/>
          </w:tcPr>
          <w:p w14:paraId="6B5D1721" w14:textId="77777777" w:rsidR="00665AD2" w:rsidRDefault="00FF6E05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665AD2" w14:paraId="2276B1BA" w14:textId="77777777" w:rsidTr="002C493A">
        <w:trPr>
          <w:trHeight w:val="308"/>
        </w:trPr>
        <w:tc>
          <w:tcPr>
            <w:tcW w:w="461" w:type="pct"/>
          </w:tcPr>
          <w:p w14:paraId="45C72A73" w14:textId="77777777" w:rsidR="00665AD2" w:rsidRDefault="00FF6E05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4539" w:type="pct"/>
            <w:gridSpan w:val="2"/>
          </w:tcPr>
          <w:p w14:paraId="4BF3B875" w14:textId="77777777" w:rsidR="00665AD2" w:rsidRDefault="00FF6E05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原厂质保期不少于（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</w:t>
            </w:r>
          </w:p>
        </w:tc>
      </w:tr>
      <w:tr w:rsidR="00665AD2" w14:paraId="18905C16" w14:textId="77777777" w:rsidTr="002C493A">
        <w:trPr>
          <w:trHeight w:val="308"/>
        </w:trPr>
        <w:tc>
          <w:tcPr>
            <w:tcW w:w="461" w:type="pct"/>
          </w:tcPr>
          <w:p w14:paraId="4ECF50F2" w14:textId="77777777" w:rsidR="00665AD2" w:rsidRDefault="00FF6E05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4539" w:type="pct"/>
            <w:gridSpan w:val="2"/>
          </w:tcPr>
          <w:p w14:paraId="04657750" w14:textId="77777777" w:rsidR="00665AD2" w:rsidRDefault="00FF6E0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大型设备（单价≥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万元）、特种设备、强制计量设备、急救及生命支持类设备、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院感及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生物安全相关设备等，验收时需提供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经采购人认可的且具有资质的检测机构出具的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检测合格报告，相关费用包含在投标总价中</w:t>
            </w:r>
          </w:p>
        </w:tc>
      </w:tr>
      <w:tr w:rsidR="00665AD2" w14:paraId="0EA7E65E" w14:textId="77777777" w:rsidTr="002C493A">
        <w:trPr>
          <w:trHeight w:val="308"/>
        </w:trPr>
        <w:tc>
          <w:tcPr>
            <w:tcW w:w="461" w:type="pct"/>
          </w:tcPr>
          <w:p w14:paraId="7D928CE4" w14:textId="77777777" w:rsidR="00665AD2" w:rsidRDefault="00FF6E05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4.3</w:t>
            </w:r>
          </w:p>
        </w:tc>
        <w:tc>
          <w:tcPr>
            <w:tcW w:w="4539" w:type="pct"/>
            <w:gridSpan w:val="2"/>
          </w:tcPr>
          <w:p w14:paraId="46580406" w14:textId="77777777" w:rsidR="00665AD2" w:rsidRDefault="00FF6E0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设备实现与院内信息系统（如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HIS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LIS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PACS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等）的无缝对接，接入方案要求支持标准数据接口（如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HL7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DICOM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），并提供开放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API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文档，确保兼容性与数据互通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，同时，设备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需支持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远程监控与维护功能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，具备良好的扩展性以满足后续升级需求；提供对接方案；若设备有信息系统接口，全部免费开放。（如需）</w:t>
            </w:r>
          </w:p>
        </w:tc>
      </w:tr>
      <w:tr w:rsidR="00665AD2" w14:paraId="1B020241" w14:textId="77777777" w:rsidTr="002C493A">
        <w:trPr>
          <w:trHeight w:val="308"/>
        </w:trPr>
        <w:tc>
          <w:tcPr>
            <w:tcW w:w="461" w:type="pct"/>
          </w:tcPr>
          <w:p w14:paraId="53123463" w14:textId="77777777" w:rsidR="00665AD2" w:rsidRDefault="00FF6E05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4.4</w:t>
            </w:r>
          </w:p>
        </w:tc>
        <w:tc>
          <w:tcPr>
            <w:tcW w:w="4539" w:type="pct"/>
            <w:gridSpan w:val="2"/>
          </w:tcPr>
          <w:p w14:paraId="5A02B1D8" w14:textId="77777777" w:rsidR="00665AD2" w:rsidRDefault="00FF6E05">
            <w:pPr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其他：</w:t>
            </w:r>
          </w:p>
        </w:tc>
      </w:tr>
    </w:tbl>
    <w:p w14:paraId="0583576F" w14:textId="77777777" w:rsidR="00665AD2" w:rsidRDefault="00665AD2">
      <w:pPr>
        <w:spacing w:line="360" w:lineRule="auto"/>
        <w:rPr>
          <w:sz w:val="24"/>
          <w:szCs w:val="24"/>
          <w:u w:val="single"/>
        </w:rPr>
      </w:pPr>
    </w:p>
    <w:sectPr w:rsidR="00665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BD43A" w14:textId="77777777" w:rsidR="00FF6E05" w:rsidRDefault="00FF6E05" w:rsidP="002C493A">
      <w:r>
        <w:separator/>
      </w:r>
    </w:p>
  </w:endnote>
  <w:endnote w:type="continuationSeparator" w:id="0">
    <w:p w14:paraId="60E62B00" w14:textId="77777777" w:rsidR="00FF6E05" w:rsidRDefault="00FF6E05" w:rsidP="002C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CF0E3" w14:textId="77777777" w:rsidR="00FF6E05" w:rsidRDefault="00FF6E05" w:rsidP="002C493A">
      <w:r>
        <w:separator/>
      </w:r>
    </w:p>
  </w:footnote>
  <w:footnote w:type="continuationSeparator" w:id="0">
    <w:p w14:paraId="5ABA5488" w14:textId="77777777" w:rsidR="00FF6E05" w:rsidRDefault="00FF6E05" w:rsidP="002C4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ZWI2ZjA5MDUyNTIwMTVmMjIwYjkzYzUwZGIxODEifQ=="/>
  </w:docVars>
  <w:rsids>
    <w:rsidRoot w:val="7B28549C"/>
    <w:rsid w:val="001F3D14"/>
    <w:rsid w:val="002C493A"/>
    <w:rsid w:val="00665AD2"/>
    <w:rsid w:val="00FF6E05"/>
    <w:rsid w:val="06CC6306"/>
    <w:rsid w:val="07A70F85"/>
    <w:rsid w:val="099077F7"/>
    <w:rsid w:val="0A92679B"/>
    <w:rsid w:val="0B876571"/>
    <w:rsid w:val="0F2C1D70"/>
    <w:rsid w:val="10477E7E"/>
    <w:rsid w:val="11092051"/>
    <w:rsid w:val="13477178"/>
    <w:rsid w:val="1ADC4941"/>
    <w:rsid w:val="207C023F"/>
    <w:rsid w:val="208E5D79"/>
    <w:rsid w:val="24303C58"/>
    <w:rsid w:val="26651C51"/>
    <w:rsid w:val="28331C1B"/>
    <w:rsid w:val="2A217B28"/>
    <w:rsid w:val="2EE34571"/>
    <w:rsid w:val="30572F78"/>
    <w:rsid w:val="3076131B"/>
    <w:rsid w:val="318800E3"/>
    <w:rsid w:val="34480AEF"/>
    <w:rsid w:val="38A03D8B"/>
    <w:rsid w:val="397F500E"/>
    <w:rsid w:val="3C2B2591"/>
    <w:rsid w:val="40000B87"/>
    <w:rsid w:val="4207575F"/>
    <w:rsid w:val="443B2CEC"/>
    <w:rsid w:val="44C578EC"/>
    <w:rsid w:val="462309DA"/>
    <w:rsid w:val="468A4D8B"/>
    <w:rsid w:val="4A946440"/>
    <w:rsid w:val="4AFB588F"/>
    <w:rsid w:val="4ED67027"/>
    <w:rsid w:val="4F361873"/>
    <w:rsid w:val="5118618C"/>
    <w:rsid w:val="527B23BF"/>
    <w:rsid w:val="594661BA"/>
    <w:rsid w:val="59CE33A8"/>
    <w:rsid w:val="5A6076D7"/>
    <w:rsid w:val="5BB87046"/>
    <w:rsid w:val="5C13678B"/>
    <w:rsid w:val="5F7056A6"/>
    <w:rsid w:val="61386D43"/>
    <w:rsid w:val="663336A5"/>
    <w:rsid w:val="66D23DE2"/>
    <w:rsid w:val="67212ADF"/>
    <w:rsid w:val="69DB0917"/>
    <w:rsid w:val="6E873EA7"/>
    <w:rsid w:val="6FC22F83"/>
    <w:rsid w:val="70326D5C"/>
    <w:rsid w:val="70CA4041"/>
    <w:rsid w:val="725F0F5E"/>
    <w:rsid w:val="72901CD2"/>
    <w:rsid w:val="73691968"/>
    <w:rsid w:val="7A647486"/>
    <w:rsid w:val="7B28549C"/>
    <w:rsid w:val="7B41219D"/>
    <w:rsid w:val="7BD96243"/>
    <w:rsid w:val="7E77269B"/>
    <w:rsid w:val="7FA0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C4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C49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C4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C49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C4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C49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C4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C49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3</cp:revision>
  <dcterms:created xsi:type="dcterms:W3CDTF">2023-10-19T02:31:00Z</dcterms:created>
  <dcterms:modified xsi:type="dcterms:W3CDTF">2025-04-03T08:22:00Z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6E607A06DDDC438B844E9E3BB40909E5_13</vt:lpwstr>
  </property>
  <property fmtid="{D5CDD505-2E9C-101B-9397-08002B2CF9AE}" pid="4" name="KSOTemplateDocerSaveRecord">
    <vt:lpwstr>eyJoZGlkIjoiZTY0ZGRiYTRiMWExMDNkMzFjY2IzOTdmMzc1ZjZhYmQiLCJ1c2VySWQiOiI5NjY0ODI2MTIifQ==</vt:lpwstr>
  </property>
</Properties>
</file>