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horzAnchor="page" w:tblpX="437" w:tblpY="139"/>
        <w:tblOverlap w:val="never"/>
        <w:tblW w:w="655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0"/>
        <w:gridCol w:w="1765"/>
        <w:gridCol w:w="8376"/>
      </w:tblGrid>
      <w:tr w14:paraId="73469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5000" w:type="pct"/>
            <w:gridSpan w:val="3"/>
          </w:tcPr>
          <w:p w14:paraId="286D3A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in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/>
                <w:color w:val="000000"/>
                <w:sz w:val="32"/>
                <w:szCs w:val="32"/>
              </w:rPr>
              <w:t>浙江大学附属儿童医院（医疗）设备</w:t>
            </w:r>
            <w:r>
              <w:rPr>
                <w:rFonts w:hint="eastAsia" w:ascii="宋体" w:hAnsi="宋体"/>
                <w:b/>
                <w:color w:val="000000"/>
                <w:sz w:val="32"/>
                <w:szCs w:val="32"/>
                <w:lang w:val="en-US" w:eastAsia="zh-CN"/>
              </w:rPr>
              <w:t>需求确认表</w:t>
            </w:r>
          </w:p>
        </w:tc>
      </w:tr>
      <w:tr w14:paraId="5FB03A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1251" w:type="pct"/>
            <w:gridSpan w:val="2"/>
          </w:tcPr>
          <w:p w14:paraId="097EEF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Theme="majorEastAsia" w:hAnsiTheme="majorEastAsia" w:eastAsiaTheme="maj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bookmarkStart w:id="0" w:name="_GoBack" w:colFirst="1" w:colLast="1"/>
            <w:r>
              <w:rPr>
                <w:rFonts w:hint="eastAsia" w:asciiTheme="majorEastAsia" w:hAnsiTheme="majorEastAsia" w:eastAsiaTheme="majorEastAsia"/>
                <w:b/>
                <w:sz w:val="28"/>
                <w:szCs w:val="28"/>
                <w:lang w:val="en-US" w:eastAsia="zh-CN"/>
              </w:rPr>
              <w:t>项</w:t>
            </w:r>
            <w:r>
              <w:rPr>
                <w:rFonts w:hint="eastAsia" w:asciiTheme="majorEastAsia" w:hAnsiTheme="majorEastAsia" w:eastAsiaTheme="majorEastAsia"/>
                <w:b/>
                <w:sz w:val="28"/>
                <w:szCs w:val="28"/>
              </w:rPr>
              <w:t>目名称</w:t>
            </w:r>
          </w:p>
        </w:tc>
        <w:tc>
          <w:tcPr>
            <w:tcW w:w="3748" w:type="pct"/>
            <w:vAlign w:val="center"/>
          </w:tcPr>
          <w:p w14:paraId="604E44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麻醉监护仪</w:t>
            </w:r>
          </w:p>
        </w:tc>
      </w:tr>
      <w:tr w14:paraId="4730B4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1251" w:type="pct"/>
            <w:gridSpan w:val="2"/>
          </w:tcPr>
          <w:p w14:paraId="20CCD9DC">
            <w:pPr>
              <w:keepNext w:val="0"/>
              <w:keepLines w:val="0"/>
              <w:pageBreakBefore w:val="0"/>
              <w:widowControl w:val="0"/>
              <w:tabs>
                <w:tab w:val="left" w:pos="874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left"/>
              <w:textAlignment w:val="auto"/>
              <w:rPr>
                <w:rFonts w:hint="default" w:asciiTheme="majorEastAsia" w:hAnsiTheme="majorEastAsia" w:eastAsiaTheme="maj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8"/>
                <w:szCs w:val="28"/>
                <w:vertAlign w:val="baseline"/>
                <w:lang w:val="en-US" w:eastAsia="zh-CN"/>
              </w:rPr>
              <w:t>使用科室</w:t>
            </w:r>
          </w:p>
        </w:tc>
        <w:tc>
          <w:tcPr>
            <w:tcW w:w="3748" w:type="pct"/>
            <w:vAlign w:val="center"/>
          </w:tcPr>
          <w:p w14:paraId="258C7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asciiTheme="majorEastAsia" w:hAnsiTheme="majorEastAsia" w:eastAsiaTheme="majorEastAsia"/>
                <w:b/>
                <w:sz w:val="24"/>
                <w:szCs w:val="24"/>
              </w:rPr>
              <w:t>麻醉科</w:t>
            </w:r>
          </w:p>
        </w:tc>
      </w:tr>
      <w:bookmarkEnd w:id="0"/>
      <w:tr w14:paraId="4F21E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3A8E58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1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一</w:t>
            </w:r>
          </w:p>
        </w:tc>
        <w:tc>
          <w:tcPr>
            <w:tcW w:w="4538" w:type="pct"/>
            <w:gridSpan w:val="2"/>
          </w:tcPr>
          <w:p w14:paraId="77692B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基本要求</w:t>
            </w:r>
          </w:p>
        </w:tc>
      </w:tr>
      <w:tr w14:paraId="7A0D3C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6D0B1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1.1</w:t>
            </w:r>
          </w:p>
        </w:tc>
        <w:tc>
          <w:tcPr>
            <w:tcW w:w="4538" w:type="pct"/>
            <w:gridSpan w:val="2"/>
          </w:tcPr>
          <w:p w14:paraId="4EE11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数量：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3</w:t>
            </w:r>
          </w:p>
        </w:tc>
      </w:tr>
      <w:tr w14:paraId="4BAC6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19D380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1.2</w:t>
            </w:r>
          </w:p>
        </w:tc>
        <w:tc>
          <w:tcPr>
            <w:tcW w:w="4538" w:type="pct"/>
            <w:gridSpan w:val="2"/>
          </w:tcPr>
          <w:p w14:paraId="560F2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用途：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适合成人、儿童及新生儿患者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在术中进行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生命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体征监测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；</w:t>
            </w:r>
          </w:p>
        </w:tc>
      </w:tr>
      <w:tr w14:paraId="10D57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325D33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1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二</w:t>
            </w:r>
          </w:p>
        </w:tc>
        <w:tc>
          <w:tcPr>
            <w:tcW w:w="4538" w:type="pct"/>
            <w:gridSpan w:val="2"/>
          </w:tcPr>
          <w:p w14:paraId="1A5625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主要功能及参数</w:t>
            </w:r>
          </w:p>
        </w:tc>
      </w:tr>
      <w:tr w14:paraId="3DFC2A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2E962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2.1</w:t>
            </w:r>
          </w:p>
        </w:tc>
        <w:tc>
          <w:tcPr>
            <w:tcW w:w="4538" w:type="pct"/>
            <w:gridSpan w:val="2"/>
            <w:vAlign w:val="top"/>
          </w:tcPr>
          <w:p w14:paraId="4A0C07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textAlignment w:val="auto"/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 xml:space="preserve">监护仪包含常规监测、 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麻醉气体监测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麻醉深度监测；</w:t>
            </w:r>
          </w:p>
        </w:tc>
      </w:tr>
      <w:tr w14:paraId="4C4E3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3A3245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2.2</w:t>
            </w:r>
          </w:p>
        </w:tc>
        <w:tc>
          <w:tcPr>
            <w:tcW w:w="4538" w:type="pct"/>
            <w:gridSpan w:val="2"/>
            <w:vAlign w:val="top"/>
          </w:tcPr>
          <w:p w14:paraId="018EB3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textAlignment w:val="auto"/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监护仪包含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不少于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10通道显示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波形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显示不少于6通道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；</w:t>
            </w:r>
          </w:p>
        </w:tc>
      </w:tr>
      <w:tr w14:paraId="14952C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1509D9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2.3</w:t>
            </w:r>
          </w:p>
        </w:tc>
        <w:tc>
          <w:tcPr>
            <w:tcW w:w="4538" w:type="pct"/>
            <w:gridSpan w:val="2"/>
            <w:vAlign w:val="top"/>
          </w:tcPr>
          <w:p w14:paraId="0FCA91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textAlignment w:val="auto"/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监护仪能监测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ECG、HR、呼吸、SpO2、脉率、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无创血压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、体温、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有创血压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、16种高级心律失常分析、OCRG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气体监测等;</w:t>
            </w:r>
          </w:p>
        </w:tc>
      </w:tr>
      <w:tr w14:paraId="1CB2A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7A9F10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2.4</w:t>
            </w:r>
          </w:p>
        </w:tc>
        <w:tc>
          <w:tcPr>
            <w:tcW w:w="4538" w:type="pct"/>
            <w:gridSpan w:val="2"/>
            <w:vAlign w:val="top"/>
          </w:tcPr>
          <w:p w14:paraId="1031C9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textAlignment w:val="auto"/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监护仪可同时监测并显示不少于3通道有创血压；</w:t>
            </w:r>
          </w:p>
        </w:tc>
      </w:tr>
      <w:tr w14:paraId="0362FB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</w:tcPr>
          <w:p w14:paraId="774E31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2.5</w:t>
            </w:r>
          </w:p>
        </w:tc>
        <w:tc>
          <w:tcPr>
            <w:tcW w:w="4538" w:type="pct"/>
            <w:gridSpan w:val="2"/>
            <w:vAlign w:val="top"/>
          </w:tcPr>
          <w:p w14:paraId="5078F3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textAlignment w:val="auto"/>
              <w:rPr>
                <w:rFonts w:hint="default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监护仪配置备用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锂电电池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续航时间不少于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300分钟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；</w:t>
            </w:r>
          </w:p>
        </w:tc>
      </w:tr>
      <w:tr w14:paraId="46B08A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1" w:type="pct"/>
          </w:tcPr>
          <w:p w14:paraId="609654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2.6</w:t>
            </w:r>
          </w:p>
        </w:tc>
        <w:tc>
          <w:tcPr>
            <w:tcW w:w="4538" w:type="pct"/>
            <w:gridSpan w:val="2"/>
            <w:vAlign w:val="top"/>
          </w:tcPr>
          <w:p w14:paraId="3C1A3A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textAlignment w:val="auto"/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可选配脑氧、PICCO、深度麻醉功能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；</w:t>
            </w:r>
          </w:p>
        </w:tc>
      </w:tr>
      <w:tr w14:paraId="6D9D0E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461" w:type="pct"/>
            <w:vAlign w:val="top"/>
          </w:tcPr>
          <w:p w14:paraId="4FF335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1" w:firstLineChars="10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三</w:t>
            </w:r>
          </w:p>
        </w:tc>
        <w:tc>
          <w:tcPr>
            <w:tcW w:w="4538" w:type="pct"/>
            <w:gridSpan w:val="2"/>
            <w:vAlign w:val="top"/>
          </w:tcPr>
          <w:p w14:paraId="0D8894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 w:cstheme="minorBidi"/>
                <w:b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主要配置及附件</w:t>
            </w:r>
          </w:p>
        </w:tc>
      </w:tr>
      <w:tr w14:paraId="7FCCEA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087309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3.1</w:t>
            </w:r>
          </w:p>
        </w:tc>
        <w:tc>
          <w:tcPr>
            <w:tcW w:w="4538" w:type="pct"/>
            <w:gridSpan w:val="2"/>
            <w:vAlign w:val="top"/>
          </w:tcPr>
          <w:p w14:paraId="12F10F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Theme="majorEastAsia" w:hAnsiTheme="majorEastAsia" w:eastAsiaTheme="majorEastAsia" w:cstheme="minorBidi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监护仪主机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台；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麻醉气体监测模块3个；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心电导联线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付、无创血压袖带（儿童型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付）、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重复性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体温探头（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套）、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重复性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血氧饱和度探头（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个）、有创压力前端套装（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套）；</w:t>
            </w:r>
          </w:p>
        </w:tc>
      </w:tr>
      <w:tr w14:paraId="36891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2E0425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四</w:t>
            </w:r>
          </w:p>
        </w:tc>
        <w:tc>
          <w:tcPr>
            <w:tcW w:w="4538" w:type="pct"/>
            <w:gridSpan w:val="2"/>
            <w:vAlign w:val="top"/>
          </w:tcPr>
          <w:p w14:paraId="6B5D17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售后服务要求</w:t>
            </w:r>
          </w:p>
        </w:tc>
      </w:tr>
      <w:tr w14:paraId="2276B1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45C72A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4.1</w:t>
            </w:r>
          </w:p>
        </w:tc>
        <w:tc>
          <w:tcPr>
            <w:tcW w:w="4538" w:type="pct"/>
            <w:gridSpan w:val="2"/>
            <w:vAlign w:val="top"/>
          </w:tcPr>
          <w:p w14:paraId="4BF3B8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 xml:space="preserve">原厂质保期不少于（5）年                           </w:t>
            </w:r>
          </w:p>
        </w:tc>
      </w:tr>
      <w:tr w14:paraId="18905C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4ECF50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4.2</w:t>
            </w:r>
          </w:p>
        </w:tc>
        <w:tc>
          <w:tcPr>
            <w:tcW w:w="4538" w:type="pct"/>
            <w:gridSpan w:val="2"/>
            <w:vAlign w:val="top"/>
          </w:tcPr>
          <w:p w14:paraId="04657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大型设备（单价≥10万元）、特种设备、强制计量设备、急救及生命支持类设备、院感及生物安全相关设备等，验收时需提供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经采购人认可的且具有资质的检测机构出具的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检测合格报告，相关费用包含在投标总价中</w:t>
            </w:r>
          </w:p>
        </w:tc>
      </w:tr>
      <w:tr w14:paraId="0EA7E6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7D928C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4.3</w:t>
            </w:r>
          </w:p>
        </w:tc>
        <w:tc>
          <w:tcPr>
            <w:tcW w:w="4538" w:type="pct"/>
            <w:gridSpan w:val="2"/>
            <w:vAlign w:val="top"/>
          </w:tcPr>
          <w:p w14:paraId="465804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设备实现与院内信息系统（如HIS、LIS、PACS等）的无缝对接，接入方案要求支持标准数据接口（如HL7、DICOM），并提供开放API文档，确保兼容性与数据互通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，同时，设备需支持远程监控与维护功能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，具备良好的扩展性以满足后续升级需求；提供对接方案；若设备有信息系统接口，全部免费开放。（如需）</w:t>
            </w:r>
          </w:p>
        </w:tc>
      </w:tr>
      <w:tr w14:paraId="1B0202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531234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4.4</w:t>
            </w:r>
          </w:p>
        </w:tc>
        <w:tc>
          <w:tcPr>
            <w:tcW w:w="4538" w:type="pct"/>
            <w:gridSpan w:val="2"/>
            <w:vAlign w:val="top"/>
          </w:tcPr>
          <w:p w14:paraId="5A02B1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其他：</w:t>
            </w:r>
          </w:p>
        </w:tc>
      </w:tr>
      <w:tr w14:paraId="5F987C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5037FE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1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五</w:t>
            </w:r>
          </w:p>
        </w:tc>
        <w:tc>
          <w:tcPr>
            <w:tcW w:w="4538" w:type="pct"/>
            <w:gridSpan w:val="2"/>
            <w:vAlign w:val="top"/>
          </w:tcPr>
          <w:p w14:paraId="64E64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/>
                <w:bCs w:val="0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付款方式</w:t>
            </w:r>
          </w:p>
        </w:tc>
      </w:tr>
      <w:tr w14:paraId="650F83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2354FE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5.1</w:t>
            </w:r>
          </w:p>
        </w:tc>
        <w:tc>
          <w:tcPr>
            <w:tcW w:w="4538" w:type="pct"/>
            <w:gridSpan w:val="2"/>
            <w:vAlign w:val="top"/>
          </w:tcPr>
          <w:p w14:paraId="13378B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货物类</w:t>
            </w:r>
          </w:p>
        </w:tc>
      </w:tr>
      <w:tr w14:paraId="4F309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6ED30C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5.1.1</w:t>
            </w:r>
          </w:p>
        </w:tc>
        <w:tc>
          <w:tcPr>
            <w:tcW w:w="4538" w:type="pct"/>
            <w:gridSpan w:val="2"/>
            <w:vAlign w:val="top"/>
          </w:tcPr>
          <w:p w14:paraId="0B5BA0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预付款金额为合同款金额的40%。合同生效且项目具备实施条件后支付预付款；项目验收合格后</w:t>
            </w:r>
          </w:p>
          <w:p w14:paraId="70981E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付清余款。（适用中小企业投标）；</w:t>
            </w:r>
          </w:p>
        </w:tc>
      </w:tr>
      <w:tr w14:paraId="0BE5FE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4D46A9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5.1.2</w:t>
            </w:r>
          </w:p>
        </w:tc>
        <w:tc>
          <w:tcPr>
            <w:tcW w:w="4538" w:type="pct"/>
            <w:gridSpan w:val="2"/>
            <w:vAlign w:val="top"/>
          </w:tcPr>
          <w:p w14:paraId="498FF4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项目验收合格后付全款；（适用大型企业投标）</w:t>
            </w:r>
          </w:p>
        </w:tc>
      </w:tr>
      <w:tr w14:paraId="6BB69B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13BD46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5.2</w:t>
            </w:r>
          </w:p>
        </w:tc>
        <w:tc>
          <w:tcPr>
            <w:tcW w:w="4538" w:type="pct"/>
            <w:gridSpan w:val="2"/>
            <w:vAlign w:val="top"/>
          </w:tcPr>
          <w:p w14:paraId="177E73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服务类</w:t>
            </w:r>
          </w:p>
        </w:tc>
      </w:tr>
      <w:tr w14:paraId="071CA7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6494F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5.2.1</w:t>
            </w:r>
          </w:p>
        </w:tc>
        <w:tc>
          <w:tcPr>
            <w:tcW w:w="4538" w:type="pct"/>
            <w:gridSpan w:val="2"/>
            <w:vAlign w:val="top"/>
          </w:tcPr>
          <w:p w14:paraId="640738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inorBidi"/>
                <w:b w:val="0"/>
                <w:bCs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  <w:t>预付款金额不超过合同总金额的40%，合同生效后支付预付款；余款在不违反相关采购规定的情况下，由双方协商决定；</w:t>
            </w:r>
          </w:p>
        </w:tc>
      </w:tr>
      <w:tr w14:paraId="43EB2B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74334E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六</w:t>
            </w:r>
          </w:p>
        </w:tc>
        <w:tc>
          <w:tcPr>
            <w:tcW w:w="4538" w:type="pct"/>
            <w:gridSpan w:val="2"/>
            <w:vAlign w:val="top"/>
          </w:tcPr>
          <w:p w14:paraId="306C71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/>
                <w:bCs w:val="0"/>
                <w:sz w:val="24"/>
                <w:szCs w:val="24"/>
                <w:vertAlign w:val="baseline"/>
                <w:lang w:val="en-US" w:eastAsia="zh-CN"/>
              </w:rPr>
              <w:t>配套耗材情况</w:t>
            </w:r>
          </w:p>
        </w:tc>
      </w:tr>
      <w:tr w14:paraId="141B5C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461" w:type="pct"/>
            <w:vAlign w:val="top"/>
          </w:tcPr>
          <w:p w14:paraId="6A1EE5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 w:firstLine="240" w:firstLineChars="10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 w:val="0"/>
                <w:bCs/>
                <w:sz w:val="24"/>
                <w:szCs w:val="24"/>
                <w:vertAlign w:val="baseline"/>
                <w:lang w:val="en-US" w:eastAsia="zh-CN"/>
              </w:rPr>
              <w:t>6.1</w:t>
            </w:r>
          </w:p>
        </w:tc>
        <w:tc>
          <w:tcPr>
            <w:tcW w:w="4538" w:type="pct"/>
            <w:gridSpan w:val="2"/>
            <w:vAlign w:val="top"/>
          </w:tcPr>
          <w:p w14:paraId="40D800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both"/>
              <w:textAlignment w:val="auto"/>
              <w:rPr>
                <w:rFonts w:hint="default" w:asciiTheme="majorEastAsia" w:hAnsiTheme="majorEastAsia" w:eastAsiaTheme="majorEastAsia" w:cstheme="minorBidi"/>
                <w:b w:val="0"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气体采样管、一次性血氧饱和度探头、有创压传感器、一次性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</w:rPr>
              <w:t>体温探头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Theme="majorEastAsia" w:hAnsiTheme="majorEastAsia" w:eastAsiaTheme="majorEastAsia"/>
                <w:bCs/>
                <w:sz w:val="24"/>
                <w:szCs w:val="24"/>
                <w:lang w:val="en-US" w:eastAsia="zh-CN"/>
              </w:rPr>
              <w:t>ECG导联线；</w:t>
            </w:r>
          </w:p>
        </w:tc>
      </w:tr>
    </w:tbl>
    <w:p w14:paraId="219D7D2C">
      <w:pPr>
        <w:spacing w:line="360" w:lineRule="auto"/>
        <w:rPr>
          <w:rFonts w:hint="default" w:eastAsiaTheme="minorEastAsia"/>
          <w:sz w:val="24"/>
          <w:szCs w:val="24"/>
          <w:u w:val="singl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lZWI2ZjA5MDUyNTIwMTVmMjIwYjkzYzUwZGIxODEifQ=="/>
  </w:docVars>
  <w:rsids>
    <w:rsidRoot w:val="7B28549C"/>
    <w:rsid w:val="00EF74DF"/>
    <w:rsid w:val="01C2652B"/>
    <w:rsid w:val="046248DD"/>
    <w:rsid w:val="0694314F"/>
    <w:rsid w:val="06CC6306"/>
    <w:rsid w:val="07A70F85"/>
    <w:rsid w:val="099077F7"/>
    <w:rsid w:val="09F00333"/>
    <w:rsid w:val="0A92679B"/>
    <w:rsid w:val="0B876571"/>
    <w:rsid w:val="0F2C1D70"/>
    <w:rsid w:val="10477E7E"/>
    <w:rsid w:val="185522D0"/>
    <w:rsid w:val="1ADC4941"/>
    <w:rsid w:val="208E5D79"/>
    <w:rsid w:val="24303C58"/>
    <w:rsid w:val="2551032A"/>
    <w:rsid w:val="26651C51"/>
    <w:rsid w:val="28331C1B"/>
    <w:rsid w:val="2B8D49F2"/>
    <w:rsid w:val="2CD933E3"/>
    <w:rsid w:val="2EE34571"/>
    <w:rsid w:val="30572F78"/>
    <w:rsid w:val="34480AEF"/>
    <w:rsid w:val="357D1550"/>
    <w:rsid w:val="38A03D8B"/>
    <w:rsid w:val="397F500E"/>
    <w:rsid w:val="3B2B3204"/>
    <w:rsid w:val="3D61108B"/>
    <w:rsid w:val="40000B87"/>
    <w:rsid w:val="4207575F"/>
    <w:rsid w:val="443B2CEC"/>
    <w:rsid w:val="44C578EC"/>
    <w:rsid w:val="4542263E"/>
    <w:rsid w:val="45A7579D"/>
    <w:rsid w:val="45CE7BBA"/>
    <w:rsid w:val="48513DE3"/>
    <w:rsid w:val="4A946440"/>
    <w:rsid w:val="4AFB588F"/>
    <w:rsid w:val="4C561BFF"/>
    <w:rsid w:val="4E41222E"/>
    <w:rsid w:val="4F361873"/>
    <w:rsid w:val="5118618C"/>
    <w:rsid w:val="562763BA"/>
    <w:rsid w:val="59CE33A8"/>
    <w:rsid w:val="5A6076D7"/>
    <w:rsid w:val="5BB87046"/>
    <w:rsid w:val="5EF9362E"/>
    <w:rsid w:val="5F6D308F"/>
    <w:rsid w:val="5F7056A6"/>
    <w:rsid w:val="61386D43"/>
    <w:rsid w:val="61BF5946"/>
    <w:rsid w:val="654F3237"/>
    <w:rsid w:val="663336A5"/>
    <w:rsid w:val="66D23DE2"/>
    <w:rsid w:val="66DE0ADA"/>
    <w:rsid w:val="67212ADF"/>
    <w:rsid w:val="685314FF"/>
    <w:rsid w:val="69DB0917"/>
    <w:rsid w:val="6E873EA7"/>
    <w:rsid w:val="70326D5C"/>
    <w:rsid w:val="72901CD2"/>
    <w:rsid w:val="72EB350F"/>
    <w:rsid w:val="73691968"/>
    <w:rsid w:val="74195CBC"/>
    <w:rsid w:val="7B28549C"/>
    <w:rsid w:val="7B41219D"/>
    <w:rsid w:val="7BD96243"/>
    <w:rsid w:val="7BFF2E69"/>
    <w:rsid w:val="7FA04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878</Words>
  <Characters>1031</Characters>
  <Lines>0</Lines>
  <Paragraphs>0</Paragraphs>
  <TotalTime>2</TotalTime>
  <ScaleCrop>false</ScaleCrop>
  <LinksUpToDate>false</LinksUpToDate>
  <CharactersWithSpaces>1070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2023-10-19T02:31:00Z</dcterms:created>
  <dc:creator>蚂蚁</dc:creator>
  <cp:lastModifiedBy>Nicole</cp:lastModifiedBy>
  <cp:lastPrinted>2025-03-19T06:24:00Z</cp:lastPrinted>
  <dcterms:modified xsi:type="dcterms:W3CDTF">2025-04-03T08:24:25Z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FD842EB2E4D1472B98657F9CC6FA474F_13</vt:lpwstr>
  </property>
  <property fmtid="{D5CDD505-2E9C-101B-9397-08002B2CF9AE}" pid="4" name="KSOTemplateDocerSaveRecord">
    <vt:lpwstr>eyJoZGlkIjoiMTAxZTlhZjVlOTUwMjk0MjVkODJkNThhOWFkYzQzYjciLCJ1c2VySWQiOiIyNTE3NjAwMzYifQ==</vt:lpwstr>
  </property>
</Properties>
</file>