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36073">
      <w:pPr>
        <w:jc w:val="center"/>
        <w:rPr>
          <w:rFonts w:asciiTheme="minorEastAsia" w:hAnsiTheme="minorEastAsia"/>
          <w:b/>
          <w:bCs/>
          <w:sz w:val="24"/>
          <w:szCs w:val="24"/>
        </w:rPr>
      </w:pPr>
      <w:r>
        <w:rPr>
          <w:rFonts w:hint="eastAsia" w:asciiTheme="minorEastAsia" w:hAnsiTheme="minorEastAsia"/>
          <w:b/>
          <w:bCs/>
          <w:sz w:val="24"/>
          <w:szCs w:val="24"/>
        </w:rPr>
        <w:t>制剂室滤芯采购需求</w:t>
      </w:r>
    </w:p>
    <w:p w14:paraId="51F40071">
      <w:pPr>
        <w:tabs>
          <w:tab w:val="left" w:pos="360"/>
          <w:tab w:val="left" w:pos="540"/>
        </w:tabs>
        <w:snapToGrid w:val="0"/>
        <w:spacing w:line="400" w:lineRule="exact"/>
        <w:rPr>
          <w:rFonts w:cs="仿宋" w:asciiTheme="minorEastAsia" w:hAnsiTheme="minorEastAsia"/>
          <w:b/>
          <w:sz w:val="24"/>
          <w:szCs w:val="24"/>
        </w:rPr>
      </w:pPr>
      <w:r>
        <w:rPr>
          <w:rFonts w:hint="eastAsia" w:cs="仿宋" w:asciiTheme="minorEastAsia" w:hAnsiTheme="minorEastAsia"/>
          <w:b/>
          <w:sz w:val="24"/>
          <w:szCs w:val="24"/>
        </w:rPr>
        <w:t>一、采购内容及技术要求</w:t>
      </w:r>
    </w:p>
    <w:p w14:paraId="4CB1A34F">
      <w:pPr>
        <w:spacing w:before="156" w:beforeLines="50" w:after="156" w:afterLines="50"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本次采购内容为制剂室使用的滤芯，要求供应商提供的物品必须是合格的、未曾使用过的全新产品。所供货物必须适用于各种特定的医疗环境使用的特性和使用要求。</w:t>
      </w:r>
    </w:p>
    <w:tbl>
      <w:tblPr>
        <w:tblStyle w:val="9"/>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77"/>
        <w:gridCol w:w="971"/>
        <w:gridCol w:w="859"/>
        <w:gridCol w:w="990"/>
        <w:gridCol w:w="976"/>
        <w:gridCol w:w="3260"/>
      </w:tblGrid>
      <w:tr w14:paraId="4C7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5" w:type="pct"/>
            <w:vAlign w:val="center"/>
          </w:tcPr>
          <w:p w14:paraId="2348388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711" w:type="pct"/>
            <w:shd w:val="clear" w:color="auto" w:fill="auto"/>
            <w:vAlign w:val="center"/>
          </w:tcPr>
          <w:p w14:paraId="250D9EE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滤芯材质</w:t>
            </w:r>
          </w:p>
        </w:tc>
        <w:tc>
          <w:tcPr>
            <w:tcW w:w="541" w:type="pct"/>
            <w:shd w:val="clear" w:color="auto" w:fill="auto"/>
            <w:noWrap/>
            <w:vAlign w:val="center"/>
          </w:tcPr>
          <w:p w14:paraId="2F08F4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精度（微米）</w:t>
            </w:r>
          </w:p>
        </w:tc>
        <w:tc>
          <w:tcPr>
            <w:tcW w:w="478" w:type="pct"/>
            <w:shd w:val="clear" w:color="auto" w:fill="auto"/>
            <w:noWrap/>
            <w:vAlign w:val="center"/>
          </w:tcPr>
          <w:p w14:paraId="124ECEBC">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rPr>
              <w:t>接口</w:t>
            </w:r>
            <w:r>
              <w:rPr>
                <w:rFonts w:hint="eastAsia" w:cs="宋体" w:asciiTheme="minorEastAsia" w:hAnsiTheme="minorEastAsia"/>
                <w:color w:val="000000"/>
                <w:kern w:val="0"/>
                <w:szCs w:val="21"/>
                <w:lang w:val="en-US" w:eastAsia="zh-CN"/>
              </w:rPr>
              <w:t>/规格</w:t>
            </w:r>
          </w:p>
        </w:tc>
        <w:tc>
          <w:tcPr>
            <w:tcW w:w="551" w:type="pct"/>
            <w:shd w:val="clear" w:color="auto" w:fill="auto"/>
            <w:noWrap/>
            <w:vAlign w:val="center"/>
          </w:tcPr>
          <w:p w14:paraId="1540812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用途</w:t>
            </w:r>
          </w:p>
        </w:tc>
        <w:tc>
          <w:tcPr>
            <w:tcW w:w="544" w:type="pct"/>
            <w:shd w:val="clear" w:color="auto" w:fill="auto"/>
            <w:noWrap/>
            <w:vAlign w:val="center"/>
          </w:tcPr>
          <w:p w14:paraId="16D6EDC8">
            <w:pPr>
              <w:widowControl/>
              <w:jc w:val="center"/>
              <w:rPr>
                <w:rFonts w:cs="宋体" w:asciiTheme="minorEastAsia" w:hAnsiTheme="minorEastAsia"/>
                <w:color w:val="FF0000"/>
                <w:kern w:val="0"/>
                <w:szCs w:val="21"/>
              </w:rPr>
            </w:pPr>
            <w:r>
              <w:rPr>
                <w:rFonts w:hint="eastAsia" w:cs="宋体" w:asciiTheme="minorEastAsia" w:hAnsiTheme="minorEastAsia"/>
                <w:kern w:val="0"/>
                <w:szCs w:val="21"/>
              </w:rPr>
              <w:t>2年数量（只）</w:t>
            </w:r>
          </w:p>
        </w:tc>
        <w:tc>
          <w:tcPr>
            <w:tcW w:w="1817" w:type="pct"/>
            <w:shd w:val="clear" w:color="auto" w:fill="auto"/>
            <w:noWrap/>
            <w:vAlign w:val="center"/>
          </w:tcPr>
          <w:p w14:paraId="0F57933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技术要求</w:t>
            </w:r>
          </w:p>
        </w:tc>
      </w:tr>
      <w:tr w14:paraId="6B31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5" w:type="pct"/>
            <w:vAlign w:val="center"/>
          </w:tcPr>
          <w:p w14:paraId="60F7087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711" w:type="pct"/>
            <w:shd w:val="clear" w:color="auto" w:fill="auto"/>
            <w:vAlign w:val="center"/>
          </w:tcPr>
          <w:p w14:paraId="6D254F3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PP折叠滤芯（聚丙烯）</w:t>
            </w:r>
          </w:p>
        </w:tc>
        <w:tc>
          <w:tcPr>
            <w:tcW w:w="541" w:type="pct"/>
            <w:shd w:val="clear" w:color="auto" w:fill="auto"/>
            <w:noWrap/>
            <w:vAlign w:val="center"/>
          </w:tcPr>
          <w:p w14:paraId="26331B7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0.22</w:t>
            </w:r>
          </w:p>
        </w:tc>
        <w:tc>
          <w:tcPr>
            <w:tcW w:w="478" w:type="pct"/>
            <w:shd w:val="clear" w:color="auto" w:fill="auto"/>
            <w:noWrap/>
            <w:vAlign w:val="center"/>
          </w:tcPr>
          <w:p w14:paraId="63E00799">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rPr>
              <w:t>226/三角翅片</w:t>
            </w:r>
            <w:r>
              <w:rPr>
                <w:rFonts w:hint="eastAsia" w:cs="宋体" w:asciiTheme="minorEastAsia" w:hAnsiTheme="minorEastAsia"/>
                <w:color w:val="000000"/>
                <w:kern w:val="0"/>
                <w:szCs w:val="21"/>
                <w:lang w:val="en-US" w:eastAsia="zh-CN"/>
              </w:rPr>
              <w:t>/10寸</w:t>
            </w:r>
            <w:bookmarkStart w:id="0" w:name="_GoBack"/>
            <w:bookmarkEnd w:id="0"/>
          </w:p>
        </w:tc>
        <w:tc>
          <w:tcPr>
            <w:tcW w:w="551" w:type="pct"/>
            <w:shd w:val="clear" w:color="auto" w:fill="auto"/>
            <w:noWrap/>
            <w:vAlign w:val="center"/>
          </w:tcPr>
          <w:p w14:paraId="7EDA1AE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洗瓶间纯化水</w:t>
            </w:r>
          </w:p>
        </w:tc>
        <w:tc>
          <w:tcPr>
            <w:tcW w:w="544" w:type="pct"/>
            <w:shd w:val="clear" w:color="auto" w:fill="auto"/>
            <w:noWrap/>
            <w:vAlign w:val="center"/>
          </w:tcPr>
          <w:p w14:paraId="7CE7D19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40</w:t>
            </w:r>
          </w:p>
        </w:tc>
        <w:tc>
          <w:tcPr>
            <w:tcW w:w="1817" w:type="pct"/>
            <w:shd w:val="clear" w:color="auto" w:fill="auto"/>
            <w:vAlign w:val="center"/>
          </w:tcPr>
          <w:p w14:paraId="6519B9A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具有广泛的化学兼容性，高流速和高纳污量的特性。预过滤滤芯，去除含量高的大颗粒。</w:t>
            </w:r>
          </w:p>
        </w:tc>
      </w:tr>
      <w:tr w14:paraId="4E39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355" w:type="pct"/>
            <w:vAlign w:val="center"/>
          </w:tcPr>
          <w:p w14:paraId="069A794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711" w:type="pct"/>
            <w:shd w:val="clear" w:color="auto" w:fill="auto"/>
            <w:vAlign w:val="center"/>
          </w:tcPr>
          <w:p w14:paraId="115264D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PTFE（聚四氟滤芯）</w:t>
            </w:r>
          </w:p>
        </w:tc>
        <w:tc>
          <w:tcPr>
            <w:tcW w:w="541" w:type="pct"/>
            <w:shd w:val="clear" w:color="auto" w:fill="auto"/>
            <w:noWrap/>
            <w:vAlign w:val="center"/>
          </w:tcPr>
          <w:p w14:paraId="5DD65F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0.22</w:t>
            </w:r>
          </w:p>
        </w:tc>
        <w:tc>
          <w:tcPr>
            <w:tcW w:w="478" w:type="pct"/>
            <w:shd w:val="clear" w:color="auto" w:fill="auto"/>
            <w:noWrap/>
            <w:vAlign w:val="center"/>
          </w:tcPr>
          <w:p w14:paraId="198F0D25">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rPr>
              <w:t>226/三角翅片</w:t>
            </w:r>
            <w:r>
              <w:rPr>
                <w:rFonts w:hint="eastAsia" w:cs="宋体" w:asciiTheme="minorEastAsia" w:hAnsiTheme="minorEastAsia"/>
                <w:color w:val="000000"/>
                <w:kern w:val="0"/>
                <w:szCs w:val="21"/>
                <w:lang w:val="en-US" w:eastAsia="zh-CN"/>
              </w:rPr>
              <w:t>/10寸</w:t>
            </w:r>
          </w:p>
        </w:tc>
        <w:tc>
          <w:tcPr>
            <w:tcW w:w="551" w:type="pct"/>
            <w:shd w:val="clear" w:color="auto" w:fill="auto"/>
            <w:noWrap/>
            <w:vAlign w:val="center"/>
          </w:tcPr>
          <w:p w14:paraId="4D7543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洗瓶压缩空气过滤</w:t>
            </w:r>
          </w:p>
        </w:tc>
        <w:tc>
          <w:tcPr>
            <w:tcW w:w="544" w:type="pct"/>
            <w:shd w:val="clear" w:color="auto" w:fill="auto"/>
            <w:noWrap/>
            <w:vAlign w:val="center"/>
          </w:tcPr>
          <w:p w14:paraId="411600C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c>
          <w:tcPr>
            <w:tcW w:w="1817" w:type="pct"/>
            <w:shd w:val="clear" w:color="auto" w:fill="auto"/>
            <w:vAlign w:val="center"/>
          </w:tcPr>
          <w:p w14:paraId="03F63C1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具有极好的耐有机、无机化学腐蚀性和天然的疏水性，可用于强溶剂、强腐蚀性（要配PFA骨架）液体及强氧化性液体的过滤。具有良好的耐热性能，可耐受多次高温蒸汽灭菌,每支滤芯出厂前均通过完整性测试，并出具测试报告。</w:t>
            </w:r>
          </w:p>
        </w:tc>
      </w:tr>
      <w:tr w14:paraId="6647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55" w:type="pct"/>
            <w:vAlign w:val="center"/>
          </w:tcPr>
          <w:p w14:paraId="0991D2B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711" w:type="pct"/>
            <w:shd w:val="clear" w:color="auto" w:fill="auto"/>
            <w:vAlign w:val="center"/>
          </w:tcPr>
          <w:p w14:paraId="49ECFD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PP折叠滤芯（聚丙烯）</w:t>
            </w:r>
          </w:p>
        </w:tc>
        <w:tc>
          <w:tcPr>
            <w:tcW w:w="541" w:type="pct"/>
            <w:shd w:val="clear" w:color="auto" w:fill="auto"/>
            <w:noWrap/>
            <w:vAlign w:val="center"/>
          </w:tcPr>
          <w:p w14:paraId="1A2C9DA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0.22</w:t>
            </w:r>
          </w:p>
        </w:tc>
        <w:tc>
          <w:tcPr>
            <w:tcW w:w="478" w:type="pct"/>
            <w:shd w:val="clear" w:color="auto" w:fill="auto"/>
            <w:noWrap/>
            <w:vAlign w:val="center"/>
          </w:tcPr>
          <w:p w14:paraId="2EEB0576">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rPr>
              <w:t>222/三角翅片</w:t>
            </w:r>
            <w:r>
              <w:rPr>
                <w:rFonts w:hint="eastAsia" w:cs="宋体" w:asciiTheme="minorEastAsia" w:hAnsiTheme="minorEastAsia"/>
                <w:color w:val="000000"/>
                <w:kern w:val="0"/>
                <w:szCs w:val="21"/>
                <w:lang w:val="en-US" w:eastAsia="zh-CN"/>
              </w:rPr>
              <w:t>/10寸</w:t>
            </w:r>
          </w:p>
        </w:tc>
        <w:tc>
          <w:tcPr>
            <w:tcW w:w="551" w:type="pct"/>
            <w:shd w:val="clear" w:color="auto" w:fill="auto"/>
            <w:noWrap/>
            <w:vAlign w:val="center"/>
          </w:tcPr>
          <w:p w14:paraId="1D98522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洗瓶循环水过滤</w:t>
            </w:r>
          </w:p>
        </w:tc>
        <w:tc>
          <w:tcPr>
            <w:tcW w:w="544" w:type="pct"/>
            <w:shd w:val="clear" w:color="auto" w:fill="auto"/>
            <w:noWrap/>
            <w:vAlign w:val="center"/>
          </w:tcPr>
          <w:p w14:paraId="6246518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90</w:t>
            </w:r>
          </w:p>
        </w:tc>
        <w:tc>
          <w:tcPr>
            <w:tcW w:w="1817" w:type="pct"/>
            <w:shd w:val="clear" w:color="auto" w:fill="auto"/>
            <w:vAlign w:val="center"/>
          </w:tcPr>
          <w:p w14:paraId="03F2CDF8">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具有广泛的化学兼容性，高流速和高纳污量的特性。预过滤滤芯，去除含量高的大颗粒。</w:t>
            </w:r>
          </w:p>
        </w:tc>
      </w:tr>
      <w:tr w14:paraId="6ECA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55" w:type="pct"/>
            <w:vAlign w:val="center"/>
          </w:tcPr>
          <w:p w14:paraId="7C833D9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711" w:type="pct"/>
            <w:shd w:val="clear" w:color="auto" w:fill="auto"/>
            <w:vAlign w:val="center"/>
          </w:tcPr>
          <w:p w14:paraId="4B45350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PP折叠滤芯（聚丙烯）</w:t>
            </w:r>
          </w:p>
        </w:tc>
        <w:tc>
          <w:tcPr>
            <w:tcW w:w="541" w:type="pct"/>
            <w:shd w:val="clear" w:color="auto" w:fill="auto"/>
            <w:noWrap/>
            <w:vAlign w:val="center"/>
          </w:tcPr>
          <w:p w14:paraId="20E1E9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0.22</w:t>
            </w:r>
          </w:p>
        </w:tc>
        <w:tc>
          <w:tcPr>
            <w:tcW w:w="478" w:type="pct"/>
            <w:shd w:val="clear" w:color="auto" w:fill="auto"/>
            <w:noWrap/>
            <w:vAlign w:val="center"/>
          </w:tcPr>
          <w:p w14:paraId="45159C94">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rPr>
              <w:t>226/三角翅片</w:t>
            </w:r>
            <w:r>
              <w:rPr>
                <w:rFonts w:hint="eastAsia" w:cs="宋体" w:asciiTheme="minorEastAsia" w:hAnsiTheme="minorEastAsia"/>
                <w:color w:val="000000"/>
                <w:kern w:val="0"/>
                <w:szCs w:val="21"/>
                <w:lang w:val="en-US" w:eastAsia="zh-CN"/>
              </w:rPr>
              <w:t>/20寸</w:t>
            </w:r>
          </w:p>
        </w:tc>
        <w:tc>
          <w:tcPr>
            <w:tcW w:w="551" w:type="pct"/>
            <w:shd w:val="clear" w:color="auto" w:fill="auto"/>
            <w:noWrap/>
            <w:vAlign w:val="center"/>
          </w:tcPr>
          <w:p w14:paraId="2F432D8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溶解罐过滤器</w:t>
            </w:r>
          </w:p>
        </w:tc>
        <w:tc>
          <w:tcPr>
            <w:tcW w:w="544" w:type="pct"/>
            <w:shd w:val="clear" w:color="auto" w:fill="auto"/>
            <w:noWrap/>
            <w:vAlign w:val="center"/>
          </w:tcPr>
          <w:p w14:paraId="35C15A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200</w:t>
            </w:r>
          </w:p>
        </w:tc>
        <w:tc>
          <w:tcPr>
            <w:tcW w:w="1817" w:type="pct"/>
            <w:shd w:val="clear" w:color="auto" w:fill="auto"/>
            <w:vAlign w:val="center"/>
          </w:tcPr>
          <w:p w14:paraId="373413CA">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具有广泛的化学兼容性，高流速和高纳污量的特性。预过滤滤芯，去除含量高的大颗粒。</w:t>
            </w:r>
          </w:p>
        </w:tc>
      </w:tr>
      <w:tr w14:paraId="7179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55" w:type="pct"/>
            <w:vAlign w:val="center"/>
          </w:tcPr>
          <w:p w14:paraId="5D35598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711" w:type="pct"/>
            <w:shd w:val="clear" w:color="auto" w:fill="auto"/>
            <w:vAlign w:val="center"/>
          </w:tcPr>
          <w:p w14:paraId="725D1C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PES（聚醚砜折叠滤芯）</w:t>
            </w:r>
          </w:p>
        </w:tc>
        <w:tc>
          <w:tcPr>
            <w:tcW w:w="541" w:type="pct"/>
            <w:shd w:val="clear" w:color="auto" w:fill="auto"/>
            <w:noWrap/>
            <w:vAlign w:val="center"/>
          </w:tcPr>
          <w:p w14:paraId="3CD6BCA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0.45</w:t>
            </w:r>
          </w:p>
        </w:tc>
        <w:tc>
          <w:tcPr>
            <w:tcW w:w="478" w:type="pct"/>
            <w:shd w:val="clear" w:color="auto" w:fill="auto"/>
            <w:noWrap/>
            <w:vAlign w:val="center"/>
          </w:tcPr>
          <w:p w14:paraId="6CA7D138">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rPr>
              <w:t>226/三角翅片</w:t>
            </w:r>
            <w:r>
              <w:rPr>
                <w:rFonts w:hint="eastAsia" w:cs="宋体" w:asciiTheme="minorEastAsia" w:hAnsiTheme="minorEastAsia"/>
                <w:color w:val="000000"/>
                <w:kern w:val="0"/>
                <w:szCs w:val="21"/>
                <w:lang w:val="en-US" w:eastAsia="zh-CN"/>
              </w:rPr>
              <w:t>/20寸</w:t>
            </w:r>
          </w:p>
        </w:tc>
        <w:tc>
          <w:tcPr>
            <w:tcW w:w="551" w:type="pct"/>
            <w:shd w:val="clear" w:color="auto" w:fill="auto"/>
            <w:noWrap/>
            <w:vAlign w:val="center"/>
          </w:tcPr>
          <w:p w14:paraId="7F7E314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定量罐过滤器</w:t>
            </w:r>
          </w:p>
        </w:tc>
        <w:tc>
          <w:tcPr>
            <w:tcW w:w="544" w:type="pct"/>
            <w:shd w:val="clear" w:color="auto" w:fill="auto"/>
            <w:noWrap/>
            <w:vAlign w:val="center"/>
          </w:tcPr>
          <w:p w14:paraId="2530AC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210</w:t>
            </w:r>
          </w:p>
        </w:tc>
        <w:tc>
          <w:tcPr>
            <w:tcW w:w="1817" w:type="pct"/>
            <w:shd w:val="clear" w:color="auto" w:fill="auto"/>
            <w:vAlign w:val="center"/>
          </w:tcPr>
          <w:p w14:paraId="360CD2DF">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选用进口非对称聚醚砜膜及进口无纺布和丝网作为支撑层膜材料折叠而成，具有极低的析出物。具有良好的耐热性能，可耐受多次蒸汽灭菌,每支滤芯出厂前均通过完整性测试，并出具测试报告。应用于制药工业的液体过滤。</w:t>
            </w:r>
          </w:p>
        </w:tc>
      </w:tr>
    </w:tbl>
    <w:p w14:paraId="2EA52921">
      <w:pPr>
        <w:adjustRightInd w:val="0"/>
        <w:snapToGrid w:val="0"/>
        <w:spacing w:line="360" w:lineRule="auto"/>
        <w:jc w:val="left"/>
        <w:outlineLvl w:val="2"/>
        <w:rPr>
          <w:rFonts w:cs="Times New Roman" w:asciiTheme="minorEastAsia" w:hAnsiTheme="minorEastAsia"/>
          <w:sz w:val="24"/>
          <w:szCs w:val="24"/>
        </w:rPr>
      </w:pPr>
    </w:p>
    <w:p w14:paraId="4C16BAFE">
      <w:pPr>
        <w:tabs>
          <w:tab w:val="left" w:pos="360"/>
          <w:tab w:val="left" w:pos="540"/>
        </w:tabs>
        <w:snapToGrid w:val="0"/>
        <w:spacing w:line="400" w:lineRule="exact"/>
        <w:rPr>
          <w:rFonts w:cs="仿宋" w:asciiTheme="minorEastAsia" w:hAnsiTheme="minorEastAsia"/>
          <w:b/>
          <w:sz w:val="24"/>
          <w:szCs w:val="24"/>
        </w:rPr>
      </w:pPr>
      <w:r>
        <w:rPr>
          <w:rFonts w:hint="eastAsia" w:cs="仿宋" w:asciiTheme="minorEastAsia" w:hAnsiTheme="minorEastAsia"/>
          <w:sz w:val="24"/>
          <w:szCs w:val="24"/>
        </w:rPr>
        <w:t>二、</w:t>
      </w:r>
      <w:r>
        <w:rPr>
          <w:rFonts w:hint="eastAsia" w:cs="仿宋" w:asciiTheme="minorEastAsia" w:hAnsiTheme="minorEastAsia"/>
          <w:b/>
          <w:sz w:val="24"/>
          <w:szCs w:val="24"/>
        </w:rPr>
        <w:t>商务要求</w:t>
      </w:r>
    </w:p>
    <w:p w14:paraId="5983170A">
      <w:pPr>
        <w:adjustRightInd w:val="0"/>
        <w:snapToGrid w:val="0"/>
        <w:jc w:val="left"/>
        <w:rPr>
          <w:rFonts w:cs="仿宋" w:asciiTheme="minorEastAsia" w:hAnsiTheme="minorEastAsia"/>
          <w:sz w:val="24"/>
          <w:szCs w:val="24"/>
        </w:rPr>
      </w:pPr>
      <w:r>
        <w:rPr>
          <w:rFonts w:hint="eastAsia" w:cs="仿宋" w:asciiTheme="minorEastAsia" w:hAnsiTheme="minorEastAsia"/>
          <w:sz w:val="24"/>
          <w:szCs w:val="24"/>
        </w:rPr>
        <w:t>1、供应商须承诺所供全部产品的质量符合或优于国家和行业的技术标准和规范、安全。若成交供应商在服务过程中实际提供的产品无法满足所承诺或采购人要求的，采购方有权要求供应商承担责任进行赔偿。</w:t>
      </w:r>
    </w:p>
    <w:p w14:paraId="75942E54">
      <w:pPr>
        <w:adjustRightInd w:val="0"/>
        <w:snapToGrid w:val="0"/>
        <w:jc w:val="left"/>
        <w:rPr>
          <w:rFonts w:cs="仿宋" w:asciiTheme="minorEastAsia" w:hAnsiTheme="minorEastAsia"/>
          <w:sz w:val="24"/>
          <w:szCs w:val="24"/>
        </w:rPr>
      </w:pPr>
      <w:r>
        <w:rPr>
          <w:rFonts w:hint="eastAsia" w:cs="仿宋" w:asciiTheme="minorEastAsia" w:hAnsiTheme="minorEastAsia"/>
          <w:sz w:val="24"/>
          <w:szCs w:val="24"/>
        </w:rPr>
        <w:t>2、供应商对常用产品应有一定的储备。供货商应严格做好质量控制，确保供货合格率100%。供应过程中保证售后服务，如遇到特殊情况，供应商务必在24小时内响应处理。</w:t>
      </w:r>
    </w:p>
    <w:p w14:paraId="06697B89">
      <w:pPr>
        <w:adjustRightInd w:val="0"/>
        <w:snapToGrid w:val="0"/>
        <w:jc w:val="left"/>
        <w:rPr>
          <w:rFonts w:cs="仿宋" w:asciiTheme="minorEastAsia" w:hAnsiTheme="minorEastAsia"/>
          <w:sz w:val="24"/>
          <w:szCs w:val="24"/>
        </w:rPr>
      </w:pPr>
      <w:r>
        <w:rPr>
          <w:rFonts w:hint="eastAsia" w:cs="仿宋" w:asciiTheme="minorEastAsia" w:hAnsiTheme="minorEastAsia"/>
          <w:sz w:val="24"/>
          <w:szCs w:val="24"/>
        </w:rPr>
        <w:t>3、数量说明：本次采购数量为暂定数量，最终采购量以实际供货数量为准。</w:t>
      </w:r>
    </w:p>
    <w:p w14:paraId="17D5ECEC">
      <w:pPr>
        <w:adjustRightInd w:val="0"/>
        <w:snapToGrid w:val="0"/>
        <w:jc w:val="left"/>
        <w:rPr>
          <w:rFonts w:cs="仿宋" w:asciiTheme="minorEastAsia" w:hAnsiTheme="minorEastAsia"/>
          <w:sz w:val="24"/>
          <w:szCs w:val="24"/>
        </w:rPr>
      </w:pPr>
      <w:r>
        <w:rPr>
          <w:rFonts w:hint="eastAsia" w:cs="仿宋" w:asciiTheme="minorEastAsia" w:hAnsiTheme="minorEastAsia"/>
          <w:sz w:val="24"/>
          <w:szCs w:val="24"/>
        </w:rPr>
        <w:t>4、供货期：2年，具体起止时间由采购人确定。</w:t>
      </w:r>
    </w:p>
    <w:p w14:paraId="40D1C6C4">
      <w:pPr>
        <w:adjustRightInd w:val="0"/>
        <w:snapToGrid w:val="0"/>
        <w:jc w:val="left"/>
        <w:rPr>
          <w:rFonts w:cs="仿宋" w:asciiTheme="minorEastAsia" w:hAnsiTheme="minorEastAsia"/>
          <w:sz w:val="24"/>
          <w:szCs w:val="24"/>
        </w:rPr>
      </w:pPr>
      <w:r>
        <w:rPr>
          <w:rFonts w:hint="eastAsia" w:cs="仿宋" w:asciiTheme="minorEastAsia" w:hAnsiTheme="minorEastAsia"/>
          <w:sz w:val="24"/>
          <w:szCs w:val="24"/>
        </w:rPr>
        <w:t>5、供货地点：杭州市拱墅区竹竿巷57号。</w:t>
      </w:r>
    </w:p>
    <w:p w14:paraId="672B67F1">
      <w:pPr>
        <w:adjustRightInd w:val="0"/>
        <w:snapToGrid w:val="0"/>
        <w:jc w:val="left"/>
        <w:rPr>
          <w:rFonts w:cs="仿宋" w:asciiTheme="minorEastAsia" w:hAnsiTheme="minorEastAsia"/>
          <w:sz w:val="24"/>
          <w:szCs w:val="24"/>
        </w:rPr>
      </w:pPr>
      <w:r>
        <w:rPr>
          <w:rFonts w:hint="eastAsia" w:cs="仿宋" w:asciiTheme="minorEastAsia" w:hAnsiTheme="minorEastAsia"/>
          <w:sz w:val="24"/>
          <w:szCs w:val="24"/>
        </w:rPr>
        <w:t>6、供货方式和交货期：</w:t>
      </w:r>
    </w:p>
    <w:p w14:paraId="75B6DC67">
      <w:pPr>
        <w:adjustRightInd w:val="0"/>
        <w:snapToGrid w:val="0"/>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按需分批次供货，供应商收到采购人供货通知后10天内，按要求的数量供货到指定地点。应急物资供货为接到采购人通知后2日内送达。</w:t>
      </w:r>
    </w:p>
    <w:p w14:paraId="46EB2EE4">
      <w:pPr>
        <w:adjustRightInd w:val="0"/>
        <w:snapToGrid w:val="0"/>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供应商对常用产品应有一定的储备。且供货商不得以采购数量少，供货过于分散，价格低等理由拒绝供货。</w:t>
      </w:r>
    </w:p>
    <w:p w14:paraId="53A61695">
      <w:pPr>
        <w:adjustRightInd w:val="0"/>
        <w:snapToGrid w:val="0"/>
        <w:jc w:val="left"/>
        <w:rPr>
          <w:rFonts w:cs="仿宋" w:asciiTheme="minorEastAsia" w:hAnsiTheme="minorEastAsia"/>
          <w:sz w:val="24"/>
          <w:szCs w:val="24"/>
        </w:rPr>
      </w:pPr>
      <w:r>
        <w:rPr>
          <w:rFonts w:hint="eastAsia" w:cs="仿宋" w:asciiTheme="minorEastAsia" w:hAnsiTheme="minorEastAsia"/>
          <w:sz w:val="24"/>
          <w:szCs w:val="24"/>
        </w:rPr>
        <w:t>7、供应商送货应送达合同约定范围内采购人指定的地点，并根据采购人格式、内容等要求随货提供送货单。供货商有责任积极配合采购人尽快完成对账工作。</w:t>
      </w:r>
    </w:p>
    <w:p w14:paraId="2961D4D2">
      <w:pPr>
        <w:adjustRightInd w:val="0"/>
        <w:snapToGrid w:val="0"/>
        <w:jc w:val="left"/>
        <w:rPr>
          <w:rFonts w:cs="仿宋" w:asciiTheme="minorEastAsia" w:hAnsiTheme="minorEastAsia"/>
          <w:sz w:val="24"/>
          <w:szCs w:val="24"/>
        </w:rPr>
      </w:pPr>
      <w:r>
        <w:rPr>
          <w:rFonts w:hint="eastAsia" w:cs="仿宋" w:asciiTheme="minorEastAsia" w:hAnsiTheme="minorEastAsia"/>
          <w:sz w:val="24"/>
          <w:szCs w:val="24"/>
        </w:rPr>
        <w:t>6、付款方式：费用按月支付。</w:t>
      </w:r>
    </w:p>
    <w:p w14:paraId="5BD87B9A">
      <w:pPr>
        <w:adjustRightInd w:val="0"/>
        <w:snapToGrid w:val="0"/>
        <w:jc w:val="left"/>
        <w:rPr>
          <w:rFonts w:cs="仿宋" w:asciiTheme="minorEastAsia" w:hAnsiTheme="minorEastAsia"/>
          <w:sz w:val="24"/>
          <w:szCs w:val="24"/>
        </w:rPr>
      </w:pPr>
    </w:p>
    <w:p w14:paraId="3C67FEC8">
      <w:pPr>
        <w:rPr>
          <w:rFonts w:asciiTheme="minorEastAsia" w:hAnsiTheme="minorEastAsia"/>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BE13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5E049">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55E049">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JkY2E1NjgxN2M3ZWZkMjM5MjViZDQ0ZTFlOGEifQ=="/>
  </w:docVars>
  <w:rsids>
    <w:rsidRoot w:val="009F439C"/>
    <w:rsid w:val="001329EC"/>
    <w:rsid w:val="002A0A85"/>
    <w:rsid w:val="003C4D11"/>
    <w:rsid w:val="004A3BFD"/>
    <w:rsid w:val="00547EBD"/>
    <w:rsid w:val="005657B6"/>
    <w:rsid w:val="00715FFD"/>
    <w:rsid w:val="00766CCA"/>
    <w:rsid w:val="0079098E"/>
    <w:rsid w:val="00852E3F"/>
    <w:rsid w:val="008B018E"/>
    <w:rsid w:val="00952D5F"/>
    <w:rsid w:val="009F439C"/>
    <w:rsid w:val="00AD2BA5"/>
    <w:rsid w:val="00C35602"/>
    <w:rsid w:val="00E97263"/>
    <w:rsid w:val="011E7E0B"/>
    <w:rsid w:val="0135101A"/>
    <w:rsid w:val="0BF818FE"/>
    <w:rsid w:val="0DE77ECF"/>
    <w:rsid w:val="0E6335DC"/>
    <w:rsid w:val="0EC92224"/>
    <w:rsid w:val="10321FAB"/>
    <w:rsid w:val="10B2209B"/>
    <w:rsid w:val="16A002C3"/>
    <w:rsid w:val="2215122F"/>
    <w:rsid w:val="2B2664E7"/>
    <w:rsid w:val="30DC02E3"/>
    <w:rsid w:val="45697AD9"/>
    <w:rsid w:val="485B6C46"/>
    <w:rsid w:val="52520092"/>
    <w:rsid w:val="5BB24A55"/>
    <w:rsid w:val="610558B5"/>
    <w:rsid w:val="650E2472"/>
    <w:rsid w:val="6AB769B1"/>
    <w:rsid w:val="74AC5FB0"/>
    <w:rsid w:val="7A97015C"/>
    <w:rsid w:val="7AE674D0"/>
    <w:rsid w:val="7C54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val="0"/>
      <w:spacing w:line="360" w:lineRule="auto"/>
      <w:jc w:val="center"/>
      <w:outlineLvl w:val="0"/>
    </w:pPr>
    <w:rPr>
      <w:rFonts w:eastAsia="黑体"/>
      <w:b/>
      <w:kern w:val="44"/>
      <w:sz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Body Text"/>
    <w:basedOn w:val="1"/>
    <w:qFormat/>
    <w:uiPriority w:val="0"/>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4"/>
    <w:semiHidden/>
    <w:unhideWhenUsed/>
    <w:qFormat/>
    <w:uiPriority w:val="99"/>
    <w:rPr>
      <w:b/>
      <w:bCs/>
    </w:rPr>
  </w:style>
  <w:style w:type="character" w:styleId="11">
    <w:name w:val="page number"/>
    <w:qFormat/>
    <w:uiPriority w:val="0"/>
    <w:rPr>
      <w:rFonts w:ascii="Times New Roman" w:hAnsi="Times New Roman" w:eastAsia="Arial" w:cs="Times New Roman"/>
    </w:rPr>
  </w:style>
  <w:style w:type="character" w:styleId="12">
    <w:name w:val="annotation reference"/>
    <w:basedOn w:val="10"/>
    <w:semiHidden/>
    <w:unhideWhenUsed/>
    <w:qFormat/>
    <w:uiPriority w:val="99"/>
    <w:rPr>
      <w:sz w:val="21"/>
      <w:szCs w:val="21"/>
    </w:rPr>
  </w:style>
  <w:style w:type="character" w:customStyle="1" w:styleId="13">
    <w:name w:val="批注文字 Char"/>
    <w:basedOn w:val="10"/>
    <w:link w:val="3"/>
    <w:semiHidden/>
    <w:qFormat/>
    <w:uiPriority w:val="99"/>
  </w:style>
  <w:style w:type="character" w:customStyle="1" w:styleId="14">
    <w:name w:val="批注主题 Char"/>
    <w:basedOn w:val="13"/>
    <w:link w:val="8"/>
    <w:semiHidden/>
    <w:qFormat/>
    <w:uiPriority w:val="99"/>
    <w:rPr>
      <w:b/>
      <w:bCs/>
    </w:rPr>
  </w:style>
  <w:style w:type="character" w:customStyle="1" w:styleId="15">
    <w:name w:val="批注框文本 Char"/>
    <w:basedOn w:val="10"/>
    <w:link w:val="5"/>
    <w:semiHidden/>
    <w:qFormat/>
    <w:uiPriority w:val="99"/>
    <w:rPr>
      <w:sz w:val="18"/>
      <w:szCs w:val="18"/>
    </w:rPr>
  </w:style>
  <w:style w:type="character" w:customStyle="1" w:styleId="16">
    <w:name w:val="页眉 Char"/>
    <w:basedOn w:val="10"/>
    <w:link w:val="7"/>
    <w:qFormat/>
    <w:uiPriority w:val="99"/>
    <w:rPr>
      <w:sz w:val="18"/>
      <w:szCs w:val="18"/>
    </w:rPr>
  </w:style>
  <w:style w:type="character" w:customStyle="1" w:styleId="17">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1008</Words>
  <Characters>1061</Characters>
  <Lines>7</Lines>
  <Paragraphs>2</Paragraphs>
  <TotalTime>10</TotalTime>
  <ScaleCrop>false</ScaleCrop>
  <LinksUpToDate>false</LinksUpToDate>
  <CharactersWithSpaces>1061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2025-04-14T08:36:00Z</dcterms:created>
  <dc:creator>wl</dc:creator>
  <cp:lastModifiedBy>楼莎</cp:lastModifiedBy>
  <cp:lastPrinted>2023-06-29T03:13:00Z</cp:lastPrinted>
  <dcterms:modified xsi:type="dcterms:W3CDTF">2025-05-05T05:39:01Z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5989C72F3D0D45CC8678CE70F72F5149_12</vt:lpwstr>
  </property>
  <property fmtid="{D5CDD505-2E9C-101B-9397-08002B2CF9AE}" pid="4" name="KSOTemplateDocerSaveRecord">
    <vt:lpwstr>eyJoZGlkIjoiZTFlODk2Yjc4YzhjOWJiYzMzZGU5MGYyMDhhYjM1NjAiLCJ1c2VySWQiOiIxNjM3Mjk0MjQ1In0=</vt:lpwstr>
  </property>
</Properties>
</file>