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437" w:tblpY="139"/>
        <w:tblOverlap w:val="never"/>
        <w:tblW w:w="6554" w:type="pct"/>
        <w:tblLook w:val="04A0" w:firstRow="1" w:lastRow="0" w:firstColumn="1" w:lastColumn="0" w:noHBand="0" w:noVBand="1"/>
      </w:tblPr>
      <w:tblGrid>
        <w:gridCol w:w="1030"/>
        <w:gridCol w:w="1765"/>
        <w:gridCol w:w="8376"/>
      </w:tblGrid>
      <w:tr w:rsidR="0077602D" w14:paraId="5FB03A44" w14:textId="77777777" w:rsidTr="00B504E7">
        <w:trPr>
          <w:trHeight w:val="604"/>
        </w:trPr>
        <w:tc>
          <w:tcPr>
            <w:tcW w:w="1251" w:type="pct"/>
            <w:gridSpan w:val="2"/>
          </w:tcPr>
          <w:p w14:paraId="097EEF5A" w14:textId="77777777" w:rsidR="0077602D" w:rsidRDefault="000F7E0F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目名称</w:t>
            </w:r>
          </w:p>
        </w:tc>
        <w:tc>
          <w:tcPr>
            <w:tcW w:w="3749" w:type="pct"/>
          </w:tcPr>
          <w:p w14:paraId="604E4495" w14:textId="77777777" w:rsidR="0077602D" w:rsidRDefault="000F7E0F">
            <w:pPr>
              <w:tabs>
                <w:tab w:val="left" w:pos="874"/>
              </w:tabs>
              <w:ind w:rightChars="-162" w:right="-340" w:firstLineChars="200" w:firstLine="562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母乳成分分析仪</w:t>
            </w:r>
          </w:p>
        </w:tc>
      </w:tr>
      <w:tr w:rsidR="0077602D" w14:paraId="4730B426" w14:textId="77777777" w:rsidTr="00B504E7">
        <w:trPr>
          <w:trHeight w:val="604"/>
        </w:trPr>
        <w:tc>
          <w:tcPr>
            <w:tcW w:w="1251" w:type="pct"/>
            <w:gridSpan w:val="2"/>
          </w:tcPr>
          <w:p w14:paraId="20CCD9DC" w14:textId="77777777" w:rsidR="0077602D" w:rsidRDefault="000F7E0F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49" w:type="pct"/>
          </w:tcPr>
          <w:p w14:paraId="258C7316" w14:textId="77777777" w:rsidR="0077602D" w:rsidRDefault="000F7E0F">
            <w:pPr>
              <w:tabs>
                <w:tab w:val="left" w:pos="874"/>
              </w:tabs>
              <w:ind w:rightChars="-162" w:right="-340" w:firstLineChars="200" w:firstLine="562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NICU</w:t>
            </w:r>
          </w:p>
        </w:tc>
      </w:tr>
      <w:tr w:rsidR="0077602D" w14:paraId="4F21E568" w14:textId="77777777" w:rsidTr="00B504E7">
        <w:trPr>
          <w:trHeight w:val="287"/>
        </w:trPr>
        <w:tc>
          <w:tcPr>
            <w:tcW w:w="461" w:type="pct"/>
          </w:tcPr>
          <w:p w14:paraId="3A8E589D" w14:textId="77777777" w:rsidR="0077602D" w:rsidRDefault="000F7E0F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539" w:type="pct"/>
            <w:gridSpan w:val="2"/>
          </w:tcPr>
          <w:p w14:paraId="77692B76" w14:textId="77777777" w:rsidR="0077602D" w:rsidRDefault="000F7E0F">
            <w:pPr>
              <w:ind w:rightChars="-162" w:right="-340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77602D" w14:paraId="7A0D3CAE" w14:textId="77777777" w:rsidTr="00B504E7">
        <w:trPr>
          <w:trHeight w:val="287"/>
        </w:trPr>
        <w:tc>
          <w:tcPr>
            <w:tcW w:w="461" w:type="pct"/>
          </w:tcPr>
          <w:p w14:paraId="6D0B1674" w14:textId="77777777" w:rsidR="0077602D" w:rsidRDefault="000F7E0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1.1</w:t>
            </w:r>
          </w:p>
        </w:tc>
        <w:tc>
          <w:tcPr>
            <w:tcW w:w="4539" w:type="pct"/>
            <w:gridSpan w:val="2"/>
          </w:tcPr>
          <w:p w14:paraId="4EE1190C" w14:textId="77777777" w:rsidR="0077602D" w:rsidRDefault="000F7E0F">
            <w:pPr>
              <w:ind w:rightChars="20" w:right="42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数量：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台</w:t>
            </w:r>
          </w:p>
        </w:tc>
      </w:tr>
      <w:tr w:rsidR="0077602D" w14:paraId="4BAC685F" w14:textId="77777777" w:rsidTr="00B504E7">
        <w:trPr>
          <w:trHeight w:val="287"/>
        </w:trPr>
        <w:tc>
          <w:tcPr>
            <w:tcW w:w="461" w:type="pct"/>
          </w:tcPr>
          <w:p w14:paraId="19D3801B" w14:textId="77777777" w:rsidR="0077602D" w:rsidRDefault="000F7E0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1.2</w:t>
            </w:r>
          </w:p>
        </w:tc>
        <w:tc>
          <w:tcPr>
            <w:tcW w:w="4539" w:type="pct"/>
            <w:gridSpan w:val="2"/>
          </w:tcPr>
          <w:p w14:paraId="560F2F85" w14:textId="77777777" w:rsidR="0077602D" w:rsidRDefault="000F7E0F">
            <w:pPr>
              <w:ind w:rightChars="20" w:right="42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母乳成分分析仪是一款母乳专用成分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分析设备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，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能准确测量母乳中各种营养成分的含量，包括脂肪、蛋白质、糖类、干物质、总能量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矿物质等，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为婴幼儿及乳母的营养策略提供客观依据。</w:t>
            </w:r>
          </w:p>
        </w:tc>
      </w:tr>
      <w:tr w:rsidR="0077602D" w14:paraId="10D57E3F" w14:textId="77777777" w:rsidTr="00B504E7">
        <w:trPr>
          <w:trHeight w:val="287"/>
        </w:trPr>
        <w:tc>
          <w:tcPr>
            <w:tcW w:w="461" w:type="pct"/>
          </w:tcPr>
          <w:p w14:paraId="325D3362" w14:textId="77777777" w:rsidR="0077602D" w:rsidRDefault="000F7E0F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4539" w:type="pct"/>
            <w:gridSpan w:val="2"/>
          </w:tcPr>
          <w:p w14:paraId="1A5625CB" w14:textId="77777777" w:rsidR="0077602D" w:rsidRDefault="000F7E0F">
            <w:pPr>
              <w:ind w:rightChars="20" w:right="42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主要功能及参数</w:t>
            </w:r>
          </w:p>
        </w:tc>
      </w:tr>
      <w:tr w:rsidR="0077602D" w14:paraId="3DFC2A6C" w14:textId="77777777" w:rsidTr="00B504E7">
        <w:trPr>
          <w:trHeight w:val="287"/>
        </w:trPr>
        <w:tc>
          <w:tcPr>
            <w:tcW w:w="461" w:type="pct"/>
          </w:tcPr>
          <w:p w14:paraId="2E962ACC" w14:textId="77777777" w:rsidR="0077602D" w:rsidRDefault="000F7E0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2.1</w:t>
            </w:r>
          </w:p>
        </w:tc>
        <w:tc>
          <w:tcPr>
            <w:tcW w:w="4539" w:type="pct"/>
            <w:gridSpan w:val="2"/>
          </w:tcPr>
          <w:p w14:paraId="5B849933" w14:textId="77777777" w:rsidR="0077602D" w:rsidRDefault="000F7E0F">
            <w:pPr>
              <w:ind w:rightChars="20" w:right="42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能准确测量母乳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包括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初乳、过渡乳、成熟乳、晚乳）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中各种营养成分的含量，包括脂肪、蛋白质、糖类、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真蛋白、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干物质、总能量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矿物质等；</w:t>
            </w:r>
          </w:p>
        </w:tc>
      </w:tr>
      <w:tr w:rsidR="0077602D" w14:paraId="4C4E3F0A" w14:textId="77777777" w:rsidTr="00B504E7">
        <w:trPr>
          <w:trHeight w:val="287"/>
        </w:trPr>
        <w:tc>
          <w:tcPr>
            <w:tcW w:w="461" w:type="pct"/>
          </w:tcPr>
          <w:p w14:paraId="3A324530" w14:textId="77777777" w:rsidR="0077602D" w:rsidRDefault="000F7E0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2.2</w:t>
            </w:r>
          </w:p>
        </w:tc>
        <w:tc>
          <w:tcPr>
            <w:tcW w:w="4539" w:type="pct"/>
            <w:gridSpan w:val="2"/>
          </w:tcPr>
          <w:p w14:paraId="018EB3C9" w14:textId="77777777" w:rsidR="0077602D" w:rsidRDefault="000F7E0F">
            <w:pPr>
              <w:ind w:rightChars="20" w:right="42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采用公认中红外检测技术，确保测试结果的准确性；</w:t>
            </w:r>
          </w:p>
        </w:tc>
      </w:tr>
      <w:tr w:rsidR="0077602D" w14:paraId="46B08AF3" w14:textId="77777777" w:rsidTr="00B504E7">
        <w:trPr>
          <w:trHeight w:val="287"/>
        </w:trPr>
        <w:tc>
          <w:tcPr>
            <w:tcW w:w="461" w:type="pct"/>
          </w:tcPr>
          <w:p w14:paraId="609654EA" w14:textId="77777777" w:rsidR="0077602D" w:rsidRDefault="000F7E0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2.3</w:t>
            </w:r>
          </w:p>
        </w:tc>
        <w:tc>
          <w:tcPr>
            <w:tcW w:w="4539" w:type="pct"/>
            <w:gridSpan w:val="2"/>
          </w:tcPr>
          <w:p w14:paraId="3C1A3A3A" w14:textId="77777777" w:rsidR="0077602D" w:rsidRDefault="000F7E0F">
            <w:pPr>
              <w:ind w:rightChars="20" w:right="42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单样本单次检测能提供的测量结果报告应包括但不限于：脂肪、总蛋白、糖类、干物质、总能量、矿物质；</w:t>
            </w:r>
          </w:p>
        </w:tc>
      </w:tr>
      <w:tr w:rsidR="0077602D" w14:paraId="17D31BCF" w14:textId="77777777" w:rsidTr="00B504E7">
        <w:trPr>
          <w:trHeight w:val="287"/>
        </w:trPr>
        <w:tc>
          <w:tcPr>
            <w:tcW w:w="461" w:type="pct"/>
          </w:tcPr>
          <w:p w14:paraId="54BC6E0E" w14:textId="77777777" w:rsidR="0077602D" w:rsidRDefault="000F7E0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2.4</w:t>
            </w:r>
          </w:p>
        </w:tc>
        <w:tc>
          <w:tcPr>
            <w:tcW w:w="4539" w:type="pct"/>
            <w:gridSpan w:val="2"/>
          </w:tcPr>
          <w:p w14:paraId="1E253A5A" w14:textId="77777777" w:rsidR="0077602D" w:rsidRDefault="000F7E0F">
            <w:pPr>
              <w:ind w:rightChars="20" w:right="42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测试速度快，单样本检测时间小于等于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分钟；</w:t>
            </w:r>
          </w:p>
        </w:tc>
      </w:tr>
      <w:tr w:rsidR="0077602D" w14:paraId="38BF3095" w14:textId="77777777" w:rsidTr="00B504E7">
        <w:trPr>
          <w:trHeight w:val="287"/>
        </w:trPr>
        <w:tc>
          <w:tcPr>
            <w:tcW w:w="461" w:type="pct"/>
          </w:tcPr>
          <w:p w14:paraId="12D85C30" w14:textId="77777777" w:rsidR="0077602D" w:rsidRDefault="000F7E0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2.5</w:t>
            </w:r>
          </w:p>
        </w:tc>
        <w:tc>
          <w:tcPr>
            <w:tcW w:w="4539" w:type="pct"/>
            <w:gridSpan w:val="2"/>
          </w:tcPr>
          <w:p w14:paraId="371F0D4D" w14:textId="77777777" w:rsidR="0077602D" w:rsidRDefault="000F7E0F">
            <w:pPr>
              <w:ind w:rightChars="20" w:right="42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具有连续测量功能；</w:t>
            </w:r>
          </w:p>
        </w:tc>
      </w:tr>
      <w:tr w:rsidR="0077602D" w14:paraId="052ABB9D" w14:textId="77777777" w:rsidTr="00B504E7">
        <w:trPr>
          <w:trHeight w:val="287"/>
        </w:trPr>
        <w:tc>
          <w:tcPr>
            <w:tcW w:w="461" w:type="pct"/>
          </w:tcPr>
          <w:p w14:paraId="21081CD0" w14:textId="77777777" w:rsidR="0077602D" w:rsidRDefault="000F7E0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2.6</w:t>
            </w:r>
          </w:p>
        </w:tc>
        <w:tc>
          <w:tcPr>
            <w:tcW w:w="4539" w:type="pct"/>
            <w:gridSpan w:val="2"/>
          </w:tcPr>
          <w:p w14:paraId="0F9A4120" w14:textId="77777777" w:rsidR="0077602D" w:rsidRDefault="000F7E0F">
            <w:pPr>
              <w:ind w:rightChars="20" w:right="42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单样本最少检测样本量≤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2ml;</w:t>
            </w:r>
          </w:p>
        </w:tc>
      </w:tr>
      <w:tr w:rsidR="0077602D" w14:paraId="36F52060" w14:textId="77777777" w:rsidTr="00B504E7">
        <w:trPr>
          <w:trHeight w:val="287"/>
        </w:trPr>
        <w:tc>
          <w:tcPr>
            <w:tcW w:w="461" w:type="pct"/>
          </w:tcPr>
          <w:p w14:paraId="3DA404F5" w14:textId="77777777" w:rsidR="0077602D" w:rsidRDefault="000F7E0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2.7</w:t>
            </w:r>
          </w:p>
        </w:tc>
        <w:tc>
          <w:tcPr>
            <w:tcW w:w="4539" w:type="pct"/>
            <w:gridSpan w:val="2"/>
          </w:tcPr>
          <w:p w14:paraId="79E8B3FE" w14:textId="77777777" w:rsidR="0077602D" w:rsidRDefault="000F7E0F">
            <w:pPr>
              <w:ind w:rightChars="20" w:right="42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一键完成自动测试，操作简单、维护方便；</w:t>
            </w:r>
          </w:p>
        </w:tc>
      </w:tr>
      <w:tr w:rsidR="0077602D" w14:paraId="5AB278B8" w14:textId="77777777" w:rsidTr="00B504E7">
        <w:trPr>
          <w:trHeight w:val="287"/>
        </w:trPr>
        <w:tc>
          <w:tcPr>
            <w:tcW w:w="461" w:type="pct"/>
          </w:tcPr>
          <w:p w14:paraId="034CCBF9" w14:textId="77777777" w:rsidR="0077602D" w:rsidRDefault="000F7E0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2.8</w:t>
            </w:r>
          </w:p>
        </w:tc>
        <w:tc>
          <w:tcPr>
            <w:tcW w:w="4539" w:type="pct"/>
            <w:gridSpan w:val="2"/>
            <w:shd w:val="clear" w:color="auto" w:fill="auto"/>
          </w:tcPr>
          <w:p w14:paraId="43CC8090" w14:textId="77777777" w:rsidR="0077602D" w:rsidRDefault="000F7E0F">
            <w:pPr>
              <w:ind w:rightChars="20" w:right="42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配套打印机，可打印图文报告；</w:t>
            </w:r>
          </w:p>
        </w:tc>
      </w:tr>
      <w:tr w:rsidR="0077602D" w14:paraId="7E8D17C6" w14:textId="77777777" w:rsidTr="00B504E7">
        <w:trPr>
          <w:trHeight w:val="287"/>
        </w:trPr>
        <w:tc>
          <w:tcPr>
            <w:tcW w:w="461" w:type="pct"/>
          </w:tcPr>
          <w:p w14:paraId="061EB4F0" w14:textId="77777777" w:rsidR="0077602D" w:rsidRDefault="000F7E0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2.9</w:t>
            </w:r>
          </w:p>
        </w:tc>
        <w:tc>
          <w:tcPr>
            <w:tcW w:w="4539" w:type="pct"/>
            <w:gridSpan w:val="2"/>
            <w:shd w:val="clear" w:color="auto" w:fill="auto"/>
          </w:tcPr>
          <w:p w14:paraId="7E54EB38" w14:textId="77777777" w:rsidR="0077602D" w:rsidRDefault="000F7E0F">
            <w:pPr>
              <w:ind w:rightChars="20" w:right="42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能对测量数据进行便利存储、管理、导入、导出；</w:t>
            </w:r>
          </w:p>
        </w:tc>
      </w:tr>
      <w:tr w:rsidR="0077602D" w14:paraId="169B1A47" w14:textId="77777777" w:rsidTr="00B504E7">
        <w:trPr>
          <w:trHeight w:val="287"/>
        </w:trPr>
        <w:tc>
          <w:tcPr>
            <w:tcW w:w="461" w:type="pct"/>
          </w:tcPr>
          <w:p w14:paraId="34852853" w14:textId="77777777" w:rsidR="0077602D" w:rsidRDefault="000F7E0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2.10</w:t>
            </w:r>
          </w:p>
        </w:tc>
        <w:tc>
          <w:tcPr>
            <w:tcW w:w="4539" w:type="pct"/>
            <w:gridSpan w:val="2"/>
            <w:shd w:val="clear" w:color="auto" w:fill="auto"/>
          </w:tcPr>
          <w:p w14:paraId="1A9AB650" w14:textId="77777777" w:rsidR="0077602D" w:rsidRDefault="000F7E0F">
            <w:pPr>
              <w:ind w:rightChars="20" w:right="42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具有联网功能，能与医院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HIS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系统实现对接；</w:t>
            </w:r>
          </w:p>
        </w:tc>
      </w:tr>
      <w:tr w:rsidR="0077602D" w14:paraId="6D9D0E30" w14:textId="77777777" w:rsidTr="00B504E7">
        <w:trPr>
          <w:trHeight w:val="287"/>
        </w:trPr>
        <w:tc>
          <w:tcPr>
            <w:tcW w:w="461" w:type="pct"/>
          </w:tcPr>
          <w:p w14:paraId="4FF3356E" w14:textId="77777777" w:rsidR="0077602D" w:rsidRDefault="000F7E0F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4539" w:type="pct"/>
            <w:gridSpan w:val="2"/>
          </w:tcPr>
          <w:p w14:paraId="0D8894C6" w14:textId="77777777" w:rsidR="0077602D" w:rsidRDefault="000F7E0F">
            <w:pPr>
              <w:ind w:rightChars="-162" w:right="-34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主要配置及附件</w:t>
            </w:r>
          </w:p>
        </w:tc>
      </w:tr>
      <w:tr w:rsidR="0077602D" w14:paraId="7FCCEA48" w14:textId="77777777" w:rsidTr="00B504E7">
        <w:trPr>
          <w:trHeight w:val="308"/>
        </w:trPr>
        <w:tc>
          <w:tcPr>
            <w:tcW w:w="461" w:type="pct"/>
          </w:tcPr>
          <w:p w14:paraId="08730997" w14:textId="77777777" w:rsidR="0077602D" w:rsidRDefault="000F7E0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3.1</w:t>
            </w:r>
          </w:p>
        </w:tc>
        <w:tc>
          <w:tcPr>
            <w:tcW w:w="4539" w:type="pct"/>
            <w:gridSpan w:val="2"/>
          </w:tcPr>
          <w:p w14:paraId="124B05A9" w14:textId="77777777" w:rsidR="0077602D" w:rsidRDefault="000F7E0F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母乳分析仪主机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台</w:t>
            </w:r>
          </w:p>
        </w:tc>
      </w:tr>
      <w:tr w:rsidR="0077602D" w14:paraId="1CEE38F9" w14:textId="77777777" w:rsidTr="00B504E7">
        <w:trPr>
          <w:trHeight w:val="308"/>
        </w:trPr>
        <w:tc>
          <w:tcPr>
            <w:tcW w:w="461" w:type="pct"/>
          </w:tcPr>
          <w:p w14:paraId="04AB603A" w14:textId="77777777" w:rsidR="0077602D" w:rsidRDefault="000F7E0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3.2</w:t>
            </w:r>
          </w:p>
        </w:tc>
        <w:tc>
          <w:tcPr>
            <w:tcW w:w="4539" w:type="pct"/>
            <w:gridSpan w:val="2"/>
          </w:tcPr>
          <w:p w14:paraId="6923C1CE" w14:textId="77777777" w:rsidR="0077602D" w:rsidRDefault="000F7E0F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母乳工作站软件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套</w:t>
            </w:r>
          </w:p>
        </w:tc>
      </w:tr>
      <w:tr w:rsidR="0077602D" w14:paraId="40322DE8" w14:textId="77777777" w:rsidTr="00B504E7">
        <w:trPr>
          <w:trHeight w:val="308"/>
        </w:trPr>
        <w:tc>
          <w:tcPr>
            <w:tcW w:w="461" w:type="pct"/>
          </w:tcPr>
          <w:p w14:paraId="0F11C9A9" w14:textId="77777777" w:rsidR="0077602D" w:rsidRDefault="000F7E0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3.3</w:t>
            </w:r>
          </w:p>
        </w:tc>
        <w:tc>
          <w:tcPr>
            <w:tcW w:w="4539" w:type="pct"/>
            <w:gridSpan w:val="2"/>
          </w:tcPr>
          <w:p w14:paraId="160DE017" w14:textId="77777777" w:rsidR="0077602D" w:rsidRDefault="000F7E0F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打印机（经销商国内采购）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台</w:t>
            </w:r>
          </w:p>
        </w:tc>
      </w:tr>
      <w:tr w:rsidR="0077602D" w14:paraId="36891B2C" w14:textId="77777777" w:rsidTr="00B504E7">
        <w:trPr>
          <w:trHeight w:val="308"/>
        </w:trPr>
        <w:tc>
          <w:tcPr>
            <w:tcW w:w="461" w:type="pct"/>
          </w:tcPr>
          <w:p w14:paraId="2E042530" w14:textId="77777777" w:rsidR="0077602D" w:rsidRDefault="000F7E0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4539" w:type="pct"/>
            <w:gridSpan w:val="2"/>
          </w:tcPr>
          <w:p w14:paraId="6B5D1721" w14:textId="77777777" w:rsidR="0077602D" w:rsidRDefault="000F7E0F">
            <w:pPr>
              <w:ind w:rightChars="-162" w:right="-340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77602D" w14:paraId="2276B1BA" w14:textId="77777777" w:rsidTr="00B504E7">
        <w:trPr>
          <w:trHeight w:val="308"/>
        </w:trPr>
        <w:tc>
          <w:tcPr>
            <w:tcW w:w="461" w:type="pct"/>
          </w:tcPr>
          <w:p w14:paraId="45C72A73" w14:textId="77777777" w:rsidR="0077602D" w:rsidRDefault="000F7E0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4.1</w:t>
            </w:r>
          </w:p>
        </w:tc>
        <w:tc>
          <w:tcPr>
            <w:tcW w:w="4539" w:type="pct"/>
            <w:gridSpan w:val="2"/>
          </w:tcPr>
          <w:p w14:paraId="4BF3B875" w14:textId="77777777" w:rsidR="0077602D" w:rsidRDefault="000F7E0F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原厂质保期不少于（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）年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      </w:t>
            </w:r>
          </w:p>
        </w:tc>
      </w:tr>
      <w:tr w:rsidR="0077602D" w14:paraId="18905C16" w14:textId="77777777" w:rsidTr="00B504E7">
        <w:trPr>
          <w:trHeight w:val="308"/>
        </w:trPr>
        <w:tc>
          <w:tcPr>
            <w:tcW w:w="461" w:type="pct"/>
          </w:tcPr>
          <w:p w14:paraId="4ECF50F2" w14:textId="77777777" w:rsidR="0077602D" w:rsidRDefault="000F7E0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4.2</w:t>
            </w:r>
          </w:p>
        </w:tc>
        <w:tc>
          <w:tcPr>
            <w:tcW w:w="4539" w:type="pct"/>
            <w:gridSpan w:val="2"/>
          </w:tcPr>
          <w:p w14:paraId="04657750" w14:textId="77777777" w:rsidR="0077602D" w:rsidRDefault="000F7E0F">
            <w:pPr>
              <w:ind w:rightChars="20" w:right="42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大型设备（单价≥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万元）、特种设备、强制计量设备、急救及生命支持类设备、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院感及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生物安全相关设备等，验收时需提供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经采购人认可的且具有资质的检测机构出具的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检测合格报告，相关费用包含在投标总价中</w:t>
            </w:r>
          </w:p>
        </w:tc>
      </w:tr>
      <w:tr w:rsidR="0077602D" w14:paraId="0EA7E65E" w14:textId="77777777" w:rsidTr="00B504E7">
        <w:trPr>
          <w:trHeight w:val="308"/>
        </w:trPr>
        <w:tc>
          <w:tcPr>
            <w:tcW w:w="461" w:type="pct"/>
          </w:tcPr>
          <w:p w14:paraId="7D928CE4" w14:textId="77777777" w:rsidR="0077602D" w:rsidRDefault="000F7E0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4.3</w:t>
            </w:r>
          </w:p>
        </w:tc>
        <w:tc>
          <w:tcPr>
            <w:tcW w:w="4539" w:type="pct"/>
            <w:gridSpan w:val="2"/>
          </w:tcPr>
          <w:p w14:paraId="46580406" w14:textId="77777777" w:rsidR="0077602D" w:rsidRDefault="000F7E0F">
            <w:pPr>
              <w:ind w:rightChars="20" w:right="42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设备实现与院内信息系统（如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HIS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LIS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PACS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等）的无缝对接，接入方案要求支持标准数据接口（如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HL7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DICOM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），并提供开放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API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文档，确保兼容性与数据互通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，同时，设备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需支持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远程监控与维护功能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，具备良好的扩展性以满足后续升级需求；提供对接方案；若设备有信息系统接口，全部免费开放。（如需）</w:t>
            </w:r>
          </w:p>
        </w:tc>
      </w:tr>
      <w:tr w:rsidR="0077602D" w14:paraId="1B020241" w14:textId="77777777" w:rsidTr="00B504E7">
        <w:trPr>
          <w:trHeight w:val="308"/>
        </w:trPr>
        <w:tc>
          <w:tcPr>
            <w:tcW w:w="461" w:type="pct"/>
          </w:tcPr>
          <w:p w14:paraId="53123463" w14:textId="77777777" w:rsidR="0077602D" w:rsidRDefault="000F7E0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4.4</w:t>
            </w:r>
          </w:p>
        </w:tc>
        <w:tc>
          <w:tcPr>
            <w:tcW w:w="4539" w:type="pct"/>
            <w:gridSpan w:val="2"/>
          </w:tcPr>
          <w:p w14:paraId="5A02B1D8" w14:textId="77777777" w:rsidR="0077602D" w:rsidRDefault="000F7E0F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其他：</w:t>
            </w:r>
          </w:p>
        </w:tc>
      </w:tr>
      <w:tr w:rsidR="0077602D" w14:paraId="43EB2B52" w14:textId="77777777" w:rsidTr="00B504E7">
        <w:trPr>
          <w:trHeight w:val="308"/>
        </w:trPr>
        <w:tc>
          <w:tcPr>
            <w:tcW w:w="461" w:type="pct"/>
          </w:tcPr>
          <w:p w14:paraId="74334E27" w14:textId="77777777" w:rsidR="0077602D" w:rsidRDefault="000F7E0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五</w:t>
            </w:r>
          </w:p>
        </w:tc>
        <w:tc>
          <w:tcPr>
            <w:tcW w:w="4539" w:type="pct"/>
            <w:gridSpan w:val="2"/>
          </w:tcPr>
          <w:p w14:paraId="306C7120" w14:textId="77777777" w:rsidR="0077602D" w:rsidRDefault="000F7E0F">
            <w:pPr>
              <w:ind w:rightChars="-162" w:right="-340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配套耗材情况</w:t>
            </w:r>
          </w:p>
        </w:tc>
      </w:tr>
      <w:tr w:rsidR="0077602D" w14:paraId="141B5C7F" w14:textId="77777777" w:rsidTr="00B504E7">
        <w:trPr>
          <w:trHeight w:val="308"/>
        </w:trPr>
        <w:tc>
          <w:tcPr>
            <w:tcW w:w="461" w:type="pct"/>
          </w:tcPr>
          <w:p w14:paraId="6A1EE598" w14:textId="77777777" w:rsidR="0077602D" w:rsidRDefault="000F7E0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5.1</w:t>
            </w:r>
          </w:p>
        </w:tc>
        <w:tc>
          <w:tcPr>
            <w:tcW w:w="4539" w:type="pct"/>
            <w:gridSpan w:val="2"/>
          </w:tcPr>
          <w:p w14:paraId="40D800CB" w14:textId="77777777" w:rsidR="0077602D" w:rsidRDefault="000F7E0F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清洗液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检测液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测量杯等</w:t>
            </w:r>
          </w:p>
        </w:tc>
      </w:tr>
      <w:tr w:rsidR="0077602D" w14:paraId="01FB3195" w14:textId="77777777" w:rsidTr="00B504E7">
        <w:trPr>
          <w:trHeight w:val="308"/>
        </w:trPr>
        <w:tc>
          <w:tcPr>
            <w:tcW w:w="461" w:type="pct"/>
          </w:tcPr>
          <w:p w14:paraId="534D4E72" w14:textId="77777777" w:rsidR="0077602D" w:rsidRDefault="000F7E0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5.2</w:t>
            </w:r>
          </w:p>
        </w:tc>
        <w:tc>
          <w:tcPr>
            <w:tcW w:w="4539" w:type="pct"/>
            <w:gridSpan w:val="2"/>
          </w:tcPr>
          <w:p w14:paraId="1888479B" w14:textId="77777777" w:rsidR="0077602D" w:rsidRDefault="000F7E0F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保修期内厂家按需免费提供所有耗材</w:t>
            </w:r>
          </w:p>
        </w:tc>
      </w:tr>
    </w:tbl>
    <w:p w14:paraId="17413DD7" w14:textId="77777777" w:rsidR="0077602D" w:rsidRDefault="0077602D">
      <w:pPr>
        <w:spacing w:line="360" w:lineRule="auto"/>
        <w:rPr>
          <w:sz w:val="24"/>
          <w:szCs w:val="24"/>
          <w:u w:val="single"/>
        </w:rPr>
      </w:pPr>
    </w:p>
    <w:sectPr w:rsidR="00776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EECAA" w14:textId="77777777" w:rsidR="000F7E0F" w:rsidRDefault="000F7E0F" w:rsidP="00B504E7">
      <w:r>
        <w:separator/>
      </w:r>
    </w:p>
  </w:endnote>
  <w:endnote w:type="continuationSeparator" w:id="0">
    <w:p w14:paraId="0A1EE155" w14:textId="77777777" w:rsidR="000F7E0F" w:rsidRDefault="000F7E0F" w:rsidP="00B5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DBA64" w14:textId="77777777" w:rsidR="000F7E0F" w:rsidRDefault="000F7E0F" w:rsidP="00B504E7">
      <w:r>
        <w:separator/>
      </w:r>
    </w:p>
  </w:footnote>
  <w:footnote w:type="continuationSeparator" w:id="0">
    <w:p w14:paraId="190300F3" w14:textId="77777777" w:rsidR="000F7E0F" w:rsidRDefault="000F7E0F" w:rsidP="00B50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NzdkMThhNzc4NmMxMDQ5MDlkNzhhOTljZTYwZTYifQ=="/>
  </w:docVars>
  <w:rsids>
    <w:rsidRoot w:val="7B28549C"/>
    <w:rsid w:val="000F7E0F"/>
    <w:rsid w:val="0077602D"/>
    <w:rsid w:val="00B504E7"/>
    <w:rsid w:val="00C84142"/>
    <w:rsid w:val="019E1F5B"/>
    <w:rsid w:val="06CC6306"/>
    <w:rsid w:val="07A70F85"/>
    <w:rsid w:val="099077F7"/>
    <w:rsid w:val="0A92679B"/>
    <w:rsid w:val="0B876571"/>
    <w:rsid w:val="0F2C1D70"/>
    <w:rsid w:val="10477E7E"/>
    <w:rsid w:val="144D52D7"/>
    <w:rsid w:val="1528122B"/>
    <w:rsid w:val="1ADC4941"/>
    <w:rsid w:val="208E5D79"/>
    <w:rsid w:val="20E701EC"/>
    <w:rsid w:val="24303C58"/>
    <w:rsid w:val="26651C51"/>
    <w:rsid w:val="28331C1B"/>
    <w:rsid w:val="2EE34571"/>
    <w:rsid w:val="30572F78"/>
    <w:rsid w:val="34480AEF"/>
    <w:rsid w:val="37D87ECC"/>
    <w:rsid w:val="38A03D8B"/>
    <w:rsid w:val="397F500E"/>
    <w:rsid w:val="40000B87"/>
    <w:rsid w:val="40F40090"/>
    <w:rsid w:val="4207575F"/>
    <w:rsid w:val="443B2CEC"/>
    <w:rsid w:val="44C578EC"/>
    <w:rsid w:val="4A946440"/>
    <w:rsid w:val="4AFB588F"/>
    <w:rsid w:val="4F361873"/>
    <w:rsid w:val="5118618C"/>
    <w:rsid w:val="51D0666D"/>
    <w:rsid w:val="5932754F"/>
    <w:rsid w:val="59CE33A8"/>
    <w:rsid w:val="5A6076D7"/>
    <w:rsid w:val="5BB87046"/>
    <w:rsid w:val="5CF12260"/>
    <w:rsid w:val="5F7056A6"/>
    <w:rsid w:val="61386D43"/>
    <w:rsid w:val="663336A5"/>
    <w:rsid w:val="66D23DE2"/>
    <w:rsid w:val="67212ADF"/>
    <w:rsid w:val="69DB0917"/>
    <w:rsid w:val="6E873EA7"/>
    <w:rsid w:val="70326D5C"/>
    <w:rsid w:val="7036127C"/>
    <w:rsid w:val="72901CD2"/>
    <w:rsid w:val="73691968"/>
    <w:rsid w:val="7B28549C"/>
    <w:rsid w:val="7B41219D"/>
    <w:rsid w:val="7BB52001"/>
    <w:rsid w:val="7BD96243"/>
    <w:rsid w:val="7FA0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50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504E7"/>
    <w:rPr>
      <w:kern w:val="2"/>
      <w:sz w:val="18"/>
      <w:szCs w:val="18"/>
    </w:rPr>
  </w:style>
  <w:style w:type="paragraph" w:styleId="a5">
    <w:name w:val="footer"/>
    <w:basedOn w:val="a"/>
    <w:link w:val="Char0"/>
    <w:rsid w:val="00B50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504E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50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504E7"/>
    <w:rPr>
      <w:kern w:val="2"/>
      <w:sz w:val="18"/>
      <w:szCs w:val="18"/>
    </w:rPr>
  </w:style>
  <w:style w:type="paragraph" w:styleId="a5">
    <w:name w:val="footer"/>
    <w:basedOn w:val="a"/>
    <w:link w:val="Char0"/>
    <w:rsid w:val="00B50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504E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3</cp:revision>
  <dcterms:created xsi:type="dcterms:W3CDTF">2023-10-19T02:31:00Z</dcterms:created>
  <dcterms:modified xsi:type="dcterms:W3CDTF">2025-05-27T06:37:00Z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6E607A06DDDC438B844E9E3BB40909E5_13</vt:lpwstr>
  </property>
  <property fmtid="{D5CDD505-2E9C-101B-9397-08002B2CF9AE}" pid="4" name="KSOTemplateDocerSaveRecord">
    <vt:lpwstr>eyJoZGlkIjoiNWVkNDVkYzM0NWU0MTFmYzEyZDAwMGQ3YmZhN2RiNDEiLCJ1c2VySWQiOiIxNjgzNTUzMjk1In0=</vt:lpwstr>
  </property>
</Properties>
</file>