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5"/>
        <w:tblpPr w:leftFromText="180" w:rightFromText="180" w:vertAnchor="text" w:horzAnchor="page" w:tblpX="437" w:tblpY="139"/>
        <w:tblOverlap w:val="never"/>
        <w:tblW w:w="6551" w:type="pct"/>
        <w:tblLook w:val="04A0" w:firstRow="1" w:lastRow="0" w:firstColumn="1" w:lastColumn="0" w:noHBand="0" w:noVBand="1"/>
      </w:tblPr>
      <w:tblGrid>
        <w:gridCol w:w="1033"/>
        <w:gridCol w:w="1765"/>
        <w:gridCol w:w="8375"/>
      </w:tblGrid>
      <w:tr w:rsidR="006C6DE0" w14:paraId="5FB03A44" w14:textId="77777777" w:rsidTr="001B23CB">
        <w:trPr>
          <w:trHeight w:val="604"/>
        </w:trPr>
        <w:tc>
          <w:tcPr>
            <w:tcW w:w="1252" w:type="pct"/>
            <w:gridSpan w:val="2"/>
          </w:tcPr>
          <w:p w14:paraId="097EEF5A" w14:textId="77777777" w:rsidR="006C6DE0" w:rsidRDefault="00FF03B4">
            <w:pPr>
              <w:ind w:firstLineChars="200" w:firstLine="562"/>
              <w:rPr>
                <w:rFonts w:asciiTheme="majorEastAsia" w:eastAsiaTheme="majorEastAsia" w:hAnsiTheme="majorEastAsia"/>
                <w:b/>
                <w:sz w:val="28"/>
                <w:szCs w:val="28"/>
              </w:rPr>
            </w:pPr>
            <w:r>
              <w:rPr>
                <w:rFonts w:asciiTheme="majorEastAsia" w:eastAsiaTheme="majorEastAsia" w:hAnsiTheme="majorEastAsia" w:hint="eastAsia"/>
                <w:b/>
                <w:sz w:val="28"/>
                <w:szCs w:val="28"/>
              </w:rPr>
              <w:t>项目名称</w:t>
            </w:r>
          </w:p>
        </w:tc>
        <w:tc>
          <w:tcPr>
            <w:tcW w:w="3748" w:type="pct"/>
          </w:tcPr>
          <w:p w14:paraId="604E4495" w14:textId="118D2B89" w:rsidR="006C6DE0" w:rsidRDefault="00FF03B4">
            <w:pPr>
              <w:jc w:val="center"/>
              <w:rPr>
                <w:rFonts w:asciiTheme="majorEastAsia" w:eastAsiaTheme="majorEastAsia" w:hAnsiTheme="majorEastAsia"/>
                <w:b/>
                <w:sz w:val="24"/>
                <w:szCs w:val="24"/>
              </w:rPr>
            </w:pPr>
            <w:r>
              <w:rPr>
                <w:rFonts w:asciiTheme="majorEastAsia" w:eastAsiaTheme="majorEastAsia" w:hAnsiTheme="majorEastAsia"/>
                <w:b/>
                <w:sz w:val="28"/>
                <w:szCs w:val="28"/>
              </w:rPr>
              <w:t>运动心肺机</w:t>
            </w:r>
            <w:r w:rsidR="001B23CB">
              <w:rPr>
                <w:rFonts w:asciiTheme="majorEastAsia" w:eastAsiaTheme="majorEastAsia" w:hAnsiTheme="majorEastAsia" w:hint="eastAsia"/>
                <w:b/>
                <w:sz w:val="28"/>
                <w:szCs w:val="28"/>
              </w:rPr>
              <w:t>III</w:t>
            </w:r>
          </w:p>
        </w:tc>
      </w:tr>
      <w:tr w:rsidR="006C6DE0" w14:paraId="4730B426" w14:textId="77777777" w:rsidTr="001B23CB">
        <w:trPr>
          <w:trHeight w:val="604"/>
        </w:trPr>
        <w:tc>
          <w:tcPr>
            <w:tcW w:w="1252" w:type="pct"/>
            <w:gridSpan w:val="2"/>
          </w:tcPr>
          <w:p w14:paraId="20CCD9DC" w14:textId="77777777" w:rsidR="006C6DE0" w:rsidRDefault="00FF03B4">
            <w:pPr>
              <w:tabs>
                <w:tab w:val="left" w:pos="874"/>
              </w:tabs>
              <w:ind w:firstLineChars="200" w:firstLine="562"/>
              <w:jc w:val="left"/>
              <w:rPr>
                <w:rFonts w:asciiTheme="majorEastAsia" w:eastAsiaTheme="majorEastAsia" w:hAnsiTheme="majorEastAsia"/>
                <w:b/>
                <w:sz w:val="28"/>
                <w:szCs w:val="28"/>
              </w:rPr>
            </w:pPr>
            <w:r>
              <w:rPr>
                <w:rFonts w:asciiTheme="majorEastAsia" w:eastAsiaTheme="majorEastAsia" w:hAnsiTheme="majorEastAsia" w:hint="eastAsia"/>
                <w:b/>
                <w:sz w:val="28"/>
                <w:szCs w:val="28"/>
              </w:rPr>
              <w:t>使用科室</w:t>
            </w:r>
          </w:p>
        </w:tc>
        <w:tc>
          <w:tcPr>
            <w:tcW w:w="3748" w:type="pct"/>
          </w:tcPr>
          <w:p w14:paraId="258C7316" w14:textId="77777777" w:rsidR="006C6DE0" w:rsidRDefault="00FF03B4">
            <w:pPr>
              <w:jc w:val="center"/>
              <w:rPr>
                <w:rFonts w:asciiTheme="majorEastAsia" w:eastAsiaTheme="majorEastAsia" w:hAnsiTheme="majorEastAsia"/>
                <w:b/>
                <w:sz w:val="28"/>
                <w:szCs w:val="28"/>
              </w:rPr>
            </w:pPr>
            <w:r>
              <w:rPr>
                <w:rFonts w:asciiTheme="majorEastAsia" w:eastAsiaTheme="majorEastAsia" w:hAnsiTheme="majorEastAsia"/>
                <w:b/>
                <w:sz w:val="28"/>
                <w:szCs w:val="28"/>
              </w:rPr>
              <w:t>内分泌科（莫干山）</w:t>
            </w:r>
          </w:p>
        </w:tc>
      </w:tr>
      <w:tr w:rsidR="006C6DE0" w14:paraId="4F21E568" w14:textId="77777777" w:rsidTr="001B23CB">
        <w:trPr>
          <w:trHeight w:val="287"/>
        </w:trPr>
        <w:tc>
          <w:tcPr>
            <w:tcW w:w="462" w:type="pct"/>
          </w:tcPr>
          <w:p w14:paraId="3A8E589D" w14:textId="77777777" w:rsidR="006C6DE0" w:rsidRDefault="00FF03B4">
            <w:pPr>
              <w:ind w:firstLineChars="100" w:firstLine="241"/>
              <w:jc w:val="left"/>
              <w:rPr>
                <w:rFonts w:asciiTheme="majorEastAsia" w:eastAsiaTheme="majorEastAsia" w:hAnsiTheme="majorEastAsia"/>
                <w:bCs/>
                <w:sz w:val="24"/>
                <w:szCs w:val="24"/>
              </w:rPr>
            </w:pPr>
            <w:proofErr w:type="gramStart"/>
            <w:r>
              <w:rPr>
                <w:rFonts w:asciiTheme="majorEastAsia" w:eastAsiaTheme="majorEastAsia" w:hAnsiTheme="majorEastAsia" w:hint="eastAsia"/>
                <w:b/>
                <w:sz w:val="24"/>
                <w:szCs w:val="24"/>
              </w:rPr>
              <w:t>一</w:t>
            </w:r>
            <w:proofErr w:type="gramEnd"/>
          </w:p>
        </w:tc>
        <w:tc>
          <w:tcPr>
            <w:tcW w:w="4538" w:type="pct"/>
            <w:gridSpan w:val="2"/>
          </w:tcPr>
          <w:p w14:paraId="77692B76" w14:textId="77777777" w:rsidR="006C6DE0" w:rsidRDefault="00FF03B4">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基本要求</w:t>
            </w:r>
          </w:p>
        </w:tc>
      </w:tr>
      <w:tr w:rsidR="006C6DE0" w14:paraId="7A0D3CAE" w14:textId="77777777" w:rsidTr="001B23CB">
        <w:trPr>
          <w:trHeight w:val="287"/>
        </w:trPr>
        <w:tc>
          <w:tcPr>
            <w:tcW w:w="462" w:type="pct"/>
          </w:tcPr>
          <w:p w14:paraId="6D0B1674"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1.1</w:t>
            </w:r>
          </w:p>
        </w:tc>
        <w:tc>
          <w:tcPr>
            <w:tcW w:w="4538" w:type="pct"/>
            <w:gridSpan w:val="2"/>
          </w:tcPr>
          <w:p w14:paraId="4EE1190C"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数量：</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台</w:t>
            </w:r>
          </w:p>
        </w:tc>
      </w:tr>
      <w:tr w:rsidR="006C6DE0" w14:paraId="4BAC685F" w14:textId="77777777" w:rsidTr="001B23CB">
        <w:trPr>
          <w:trHeight w:val="287"/>
        </w:trPr>
        <w:tc>
          <w:tcPr>
            <w:tcW w:w="462" w:type="pct"/>
          </w:tcPr>
          <w:p w14:paraId="19D3801B"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1.2</w:t>
            </w:r>
          </w:p>
        </w:tc>
        <w:tc>
          <w:tcPr>
            <w:tcW w:w="4538" w:type="pct"/>
            <w:gridSpan w:val="2"/>
          </w:tcPr>
          <w:p w14:paraId="560F2F85"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用途：</w:t>
            </w:r>
            <w:r>
              <w:rPr>
                <w:rFonts w:asciiTheme="majorEastAsia" w:eastAsiaTheme="majorEastAsia" w:hAnsiTheme="majorEastAsia" w:hint="eastAsia"/>
                <w:bCs/>
                <w:color w:val="000000" w:themeColor="text1"/>
                <w:sz w:val="24"/>
                <w:szCs w:val="24"/>
              </w:rPr>
              <w:t>用于患儿心肺功能检测评估，</w:t>
            </w:r>
            <w:r>
              <w:rPr>
                <w:rFonts w:asciiTheme="majorEastAsia" w:eastAsiaTheme="majorEastAsia" w:hAnsiTheme="majorEastAsia" w:hint="eastAsia"/>
                <w:bCs/>
                <w:sz w:val="24"/>
                <w:szCs w:val="24"/>
              </w:rPr>
              <w:t>具备静息能量代谢和运动能量代谢进行营养及运动风险评估，用以制定个体化的运动处方和营养处方等。</w:t>
            </w:r>
            <w:r>
              <w:rPr>
                <w:rFonts w:asciiTheme="majorEastAsia" w:eastAsiaTheme="majorEastAsia" w:hAnsiTheme="majorEastAsia"/>
                <w:bCs/>
                <w:sz w:val="24"/>
                <w:szCs w:val="24"/>
              </w:rPr>
              <w:t xml:space="preserve"> </w:t>
            </w:r>
          </w:p>
        </w:tc>
      </w:tr>
      <w:tr w:rsidR="006C6DE0" w14:paraId="10D57E3F" w14:textId="77777777" w:rsidTr="001B23CB">
        <w:trPr>
          <w:trHeight w:val="287"/>
        </w:trPr>
        <w:tc>
          <w:tcPr>
            <w:tcW w:w="462" w:type="pct"/>
          </w:tcPr>
          <w:p w14:paraId="325D3362" w14:textId="77777777" w:rsidR="006C6DE0" w:rsidRDefault="00FF03B4">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二</w:t>
            </w:r>
          </w:p>
        </w:tc>
        <w:tc>
          <w:tcPr>
            <w:tcW w:w="4538" w:type="pct"/>
            <w:gridSpan w:val="2"/>
          </w:tcPr>
          <w:p w14:paraId="1A5625CB" w14:textId="77777777" w:rsidR="006C6DE0" w:rsidRDefault="00FF03B4">
            <w:pPr>
              <w:jc w:val="center"/>
              <w:rPr>
                <w:rFonts w:asciiTheme="majorEastAsia" w:eastAsiaTheme="majorEastAsia" w:hAnsiTheme="majorEastAsia"/>
                <w:bCs/>
                <w:sz w:val="24"/>
                <w:szCs w:val="24"/>
              </w:rPr>
            </w:pPr>
            <w:r>
              <w:rPr>
                <w:rFonts w:asciiTheme="majorEastAsia" w:eastAsiaTheme="majorEastAsia" w:hAnsiTheme="majorEastAsia" w:hint="eastAsia"/>
                <w:bCs/>
                <w:sz w:val="24"/>
                <w:szCs w:val="24"/>
              </w:rPr>
              <w:t>主要功能及参数</w:t>
            </w:r>
          </w:p>
        </w:tc>
      </w:tr>
      <w:tr w:rsidR="006C6DE0" w14:paraId="3DFC2A6C" w14:textId="77777777" w:rsidTr="001B23CB">
        <w:trPr>
          <w:trHeight w:val="287"/>
        </w:trPr>
        <w:tc>
          <w:tcPr>
            <w:tcW w:w="462" w:type="pct"/>
          </w:tcPr>
          <w:p w14:paraId="2E962ACC"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2.1</w:t>
            </w:r>
          </w:p>
        </w:tc>
        <w:tc>
          <w:tcPr>
            <w:tcW w:w="4538" w:type="pct"/>
            <w:gridSpan w:val="2"/>
          </w:tcPr>
          <w:p w14:paraId="4A0C0721" w14:textId="77777777" w:rsidR="006C6DE0" w:rsidRDefault="00FF03B4">
            <w:pPr>
              <w:jc w:val="left"/>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设备适用于儿童，具备静息及运动能量代谢测试、运动心电图监测、运动血压监测和血氧监测，通气等功能；</w:t>
            </w:r>
          </w:p>
        </w:tc>
      </w:tr>
      <w:tr w:rsidR="006C6DE0" w14:paraId="4C4E3F0A" w14:textId="77777777" w:rsidTr="001B23CB">
        <w:trPr>
          <w:trHeight w:val="287"/>
        </w:trPr>
        <w:tc>
          <w:tcPr>
            <w:tcW w:w="462" w:type="pct"/>
          </w:tcPr>
          <w:p w14:paraId="3A324530"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2.2</w:t>
            </w:r>
          </w:p>
        </w:tc>
        <w:tc>
          <w:tcPr>
            <w:tcW w:w="4538" w:type="pct"/>
            <w:gridSpan w:val="2"/>
          </w:tcPr>
          <w:p w14:paraId="018EB3C9"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设备具备氧代谢、营养和能量消耗测定，包含基础代谢</w:t>
            </w:r>
            <w:r>
              <w:rPr>
                <w:rFonts w:asciiTheme="majorEastAsia" w:eastAsiaTheme="majorEastAsia" w:hAnsiTheme="majorEastAsia" w:hint="eastAsia"/>
                <w:bCs/>
                <w:sz w:val="24"/>
                <w:szCs w:val="24"/>
              </w:rPr>
              <w:t>REE</w:t>
            </w:r>
            <w:r>
              <w:rPr>
                <w:rFonts w:asciiTheme="majorEastAsia" w:eastAsiaTheme="majorEastAsia" w:hAnsiTheme="majorEastAsia" w:hint="eastAsia"/>
                <w:bCs/>
                <w:sz w:val="24"/>
                <w:szCs w:val="24"/>
              </w:rPr>
              <w:t>、碳水化合物</w:t>
            </w:r>
            <w:r>
              <w:rPr>
                <w:rFonts w:asciiTheme="majorEastAsia" w:eastAsiaTheme="majorEastAsia" w:hAnsiTheme="majorEastAsia" w:hint="eastAsia"/>
                <w:bCs/>
                <w:sz w:val="24"/>
                <w:szCs w:val="24"/>
              </w:rPr>
              <w:t>CHO</w:t>
            </w:r>
            <w:r>
              <w:rPr>
                <w:rFonts w:asciiTheme="majorEastAsia" w:eastAsiaTheme="majorEastAsia" w:hAnsiTheme="majorEastAsia" w:hint="eastAsia"/>
                <w:bCs/>
                <w:sz w:val="24"/>
                <w:szCs w:val="24"/>
              </w:rPr>
              <w:t>、蛋白质</w:t>
            </w:r>
            <w:r>
              <w:rPr>
                <w:rFonts w:asciiTheme="majorEastAsia" w:eastAsiaTheme="majorEastAsia" w:hAnsiTheme="majorEastAsia" w:hint="eastAsia"/>
                <w:bCs/>
                <w:sz w:val="24"/>
                <w:szCs w:val="24"/>
              </w:rPr>
              <w:t>PRO</w:t>
            </w:r>
            <w:r>
              <w:rPr>
                <w:rFonts w:asciiTheme="majorEastAsia" w:eastAsiaTheme="majorEastAsia" w:hAnsiTheme="majorEastAsia" w:hint="eastAsia"/>
                <w:bCs/>
                <w:sz w:val="24"/>
                <w:szCs w:val="24"/>
              </w:rPr>
              <w:t>、脂类</w:t>
            </w:r>
            <w:r>
              <w:rPr>
                <w:rFonts w:asciiTheme="majorEastAsia" w:eastAsiaTheme="majorEastAsia" w:hAnsiTheme="majorEastAsia" w:hint="eastAsia"/>
                <w:bCs/>
                <w:sz w:val="24"/>
                <w:szCs w:val="24"/>
              </w:rPr>
              <w:t>FAT</w:t>
            </w:r>
            <w:r>
              <w:rPr>
                <w:rFonts w:asciiTheme="majorEastAsia" w:eastAsiaTheme="majorEastAsia" w:hAnsiTheme="majorEastAsia" w:hint="eastAsia"/>
                <w:bCs/>
                <w:sz w:val="24"/>
                <w:szCs w:val="24"/>
              </w:rPr>
              <w:t>等；</w:t>
            </w:r>
          </w:p>
        </w:tc>
      </w:tr>
      <w:tr w:rsidR="006C6DE0" w14:paraId="46B08AF3" w14:textId="77777777" w:rsidTr="001B23CB">
        <w:trPr>
          <w:trHeight w:val="287"/>
        </w:trPr>
        <w:tc>
          <w:tcPr>
            <w:tcW w:w="462" w:type="pct"/>
          </w:tcPr>
          <w:p w14:paraId="609654EA"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2.3</w:t>
            </w:r>
          </w:p>
        </w:tc>
        <w:tc>
          <w:tcPr>
            <w:tcW w:w="4538" w:type="pct"/>
            <w:gridSpan w:val="2"/>
          </w:tcPr>
          <w:p w14:paraId="3C1A3A3A"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设备具备多种常规肺功能测定包含儿童静态肺功能测试和运动心肺功能测定等功能；</w:t>
            </w:r>
          </w:p>
        </w:tc>
      </w:tr>
      <w:tr w:rsidR="006C6DE0" w14:paraId="17D31BCF" w14:textId="77777777" w:rsidTr="001B23CB">
        <w:trPr>
          <w:trHeight w:val="287"/>
        </w:trPr>
        <w:tc>
          <w:tcPr>
            <w:tcW w:w="462" w:type="pct"/>
          </w:tcPr>
          <w:p w14:paraId="54BC6E0E"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2.4</w:t>
            </w:r>
          </w:p>
        </w:tc>
        <w:tc>
          <w:tcPr>
            <w:tcW w:w="4538" w:type="pct"/>
            <w:gridSpan w:val="2"/>
          </w:tcPr>
          <w:p w14:paraId="1E253A5A"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设备具备自动测试分析功能：能够对通气功能、舒张试验、运动心肺等测试结果进行自动分析；</w:t>
            </w:r>
          </w:p>
        </w:tc>
      </w:tr>
      <w:tr w:rsidR="006C6DE0" w14:paraId="78080797" w14:textId="77777777" w:rsidTr="001B23CB">
        <w:trPr>
          <w:trHeight w:val="287"/>
        </w:trPr>
        <w:tc>
          <w:tcPr>
            <w:tcW w:w="462" w:type="pct"/>
          </w:tcPr>
          <w:p w14:paraId="16EE2963"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bCs/>
                <w:sz w:val="24"/>
                <w:szCs w:val="24"/>
              </w:rPr>
              <w:t>5</w:t>
            </w:r>
          </w:p>
        </w:tc>
        <w:tc>
          <w:tcPr>
            <w:tcW w:w="4538" w:type="pct"/>
            <w:gridSpan w:val="2"/>
          </w:tcPr>
          <w:p w14:paraId="49B67735"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设备具备能量平衡分析功能，能量平衡以图表形式显示，包括生活方式、锻炼活动、静息能量消耗、食物摄入量以及体重预测图等；</w:t>
            </w:r>
          </w:p>
        </w:tc>
      </w:tr>
      <w:tr w:rsidR="006C6DE0" w14:paraId="75D7EAC1" w14:textId="77777777" w:rsidTr="001B23CB">
        <w:trPr>
          <w:trHeight w:val="287"/>
        </w:trPr>
        <w:tc>
          <w:tcPr>
            <w:tcW w:w="462" w:type="pct"/>
          </w:tcPr>
          <w:p w14:paraId="60C2670C"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2.6</w:t>
            </w:r>
          </w:p>
        </w:tc>
        <w:tc>
          <w:tcPr>
            <w:tcW w:w="4538" w:type="pct"/>
            <w:gridSpan w:val="2"/>
          </w:tcPr>
          <w:p w14:paraId="1CF81F5D"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设备具备最大脂肪分析功能、运动训练区域等功能进行运动能量代谢测试评估。可分析最大脂肪氧化率，并根据训练区域分析界定运动强度范围，辅助制定运动训练方案提升患者运动耐力；具有标准</w:t>
            </w:r>
            <w:r>
              <w:rPr>
                <w:rFonts w:asciiTheme="majorEastAsia" w:eastAsiaTheme="majorEastAsia" w:hAnsiTheme="majorEastAsia" w:hint="eastAsia"/>
                <w:bCs/>
                <w:sz w:val="24"/>
                <w:szCs w:val="24"/>
              </w:rPr>
              <w:t>Wasserman9</w:t>
            </w:r>
            <w:r>
              <w:rPr>
                <w:rFonts w:asciiTheme="majorEastAsia" w:eastAsiaTheme="majorEastAsia" w:hAnsiTheme="majorEastAsia" w:hint="eastAsia"/>
                <w:bCs/>
                <w:sz w:val="24"/>
                <w:szCs w:val="24"/>
              </w:rPr>
              <w:t>宫图显示，可自动评估最大摄氧量、无氧阈值等；</w:t>
            </w:r>
          </w:p>
        </w:tc>
      </w:tr>
      <w:tr w:rsidR="006C6DE0" w14:paraId="5AB278B8" w14:textId="77777777" w:rsidTr="001B23CB">
        <w:trPr>
          <w:trHeight w:val="287"/>
        </w:trPr>
        <w:tc>
          <w:tcPr>
            <w:tcW w:w="462" w:type="pct"/>
          </w:tcPr>
          <w:p w14:paraId="034CCBF9"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bCs/>
                <w:sz w:val="24"/>
                <w:szCs w:val="24"/>
              </w:rPr>
              <w:t>7</w:t>
            </w:r>
          </w:p>
        </w:tc>
        <w:tc>
          <w:tcPr>
            <w:tcW w:w="4538" w:type="pct"/>
            <w:gridSpan w:val="2"/>
          </w:tcPr>
          <w:p w14:paraId="43CC8090"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设备配备功率自行车，适配儿童运动强度。功率自行车高度可手动调节，功率自行车自带不少于</w:t>
            </w:r>
            <w:r>
              <w:rPr>
                <w:rFonts w:asciiTheme="majorEastAsia" w:eastAsiaTheme="majorEastAsia" w:hAnsiTheme="majorEastAsia" w:hint="eastAsia"/>
                <w:bCs/>
                <w:sz w:val="24"/>
                <w:szCs w:val="24"/>
              </w:rPr>
              <w:t>4</w:t>
            </w:r>
            <w:r>
              <w:rPr>
                <w:rFonts w:asciiTheme="majorEastAsia" w:eastAsiaTheme="majorEastAsia" w:hAnsiTheme="majorEastAsia" w:hint="eastAsia"/>
                <w:bCs/>
                <w:sz w:val="24"/>
                <w:szCs w:val="24"/>
              </w:rPr>
              <w:t>种固定运动负荷测试方案。不小于</w:t>
            </w:r>
            <w:r>
              <w:rPr>
                <w:rFonts w:asciiTheme="majorEastAsia" w:eastAsiaTheme="majorEastAsia" w:hAnsiTheme="majorEastAsia" w:hint="eastAsia"/>
                <w:bCs/>
                <w:sz w:val="24"/>
                <w:szCs w:val="24"/>
              </w:rPr>
              <w:t>4</w:t>
            </w:r>
            <w:r>
              <w:rPr>
                <w:rFonts w:asciiTheme="majorEastAsia" w:eastAsiaTheme="majorEastAsia" w:hAnsiTheme="majorEastAsia" w:hint="eastAsia"/>
                <w:bCs/>
                <w:sz w:val="24"/>
                <w:szCs w:val="24"/>
              </w:rPr>
              <w:t>种用户可编辑运动负荷测试方案，用户可手动控制负荷模式；</w:t>
            </w:r>
          </w:p>
        </w:tc>
      </w:tr>
      <w:tr w:rsidR="006C6DE0" w14:paraId="7E8D17C6" w14:textId="77777777" w:rsidTr="001B23CB">
        <w:trPr>
          <w:trHeight w:val="287"/>
        </w:trPr>
        <w:tc>
          <w:tcPr>
            <w:tcW w:w="462" w:type="pct"/>
          </w:tcPr>
          <w:p w14:paraId="061EB4F0"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bCs/>
                <w:sz w:val="24"/>
                <w:szCs w:val="24"/>
              </w:rPr>
              <w:t>8</w:t>
            </w:r>
          </w:p>
        </w:tc>
        <w:tc>
          <w:tcPr>
            <w:tcW w:w="4538" w:type="pct"/>
            <w:gridSpan w:val="2"/>
          </w:tcPr>
          <w:p w14:paraId="7E54EB38"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设备具备无线运动心电血压传输功能。可自动同步及手动血压测量；</w:t>
            </w:r>
            <w:r>
              <w:rPr>
                <w:rFonts w:asciiTheme="majorEastAsia" w:eastAsiaTheme="majorEastAsia" w:hAnsiTheme="majorEastAsia"/>
                <w:bCs/>
                <w:sz w:val="24"/>
                <w:szCs w:val="24"/>
              </w:rPr>
              <w:t xml:space="preserve"> </w:t>
            </w:r>
          </w:p>
        </w:tc>
      </w:tr>
      <w:tr w:rsidR="006C6DE0" w14:paraId="4A72B8F1" w14:textId="77777777" w:rsidTr="001B23CB">
        <w:trPr>
          <w:trHeight w:val="287"/>
        </w:trPr>
        <w:tc>
          <w:tcPr>
            <w:tcW w:w="462" w:type="pct"/>
          </w:tcPr>
          <w:p w14:paraId="1814243E"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w:t>
            </w:r>
            <w:r>
              <w:rPr>
                <w:rFonts w:ascii="宋体" w:eastAsia="宋体" w:hAnsi="宋体" w:cs="宋体"/>
                <w:bCs/>
                <w:sz w:val="24"/>
                <w:szCs w:val="24"/>
              </w:rPr>
              <w:t>9</w:t>
            </w:r>
          </w:p>
        </w:tc>
        <w:tc>
          <w:tcPr>
            <w:tcW w:w="4538" w:type="pct"/>
            <w:gridSpan w:val="2"/>
          </w:tcPr>
          <w:p w14:paraId="5249CBEA"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设备能够提供摄氧量的动态正常值范围带，可用于心衰患儿的运动评估；</w:t>
            </w:r>
          </w:p>
        </w:tc>
      </w:tr>
      <w:tr w:rsidR="006C6DE0" w14:paraId="56787521" w14:textId="77777777" w:rsidTr="001B23CB">
        <w:trPr>
          <w:trHeight w:val="287"/>
        </w:trPr>
        <w:tc>
          <w:tcPr>
            <w:tcW w:w="462" w:type="pct"/>
          </w:tcPr>
          <w:p w14:paraId="4FAE30B3" w14:textId="77777777" w:rsidR="006C6DE0" w:rsidRDefault="00FF03B4">
            <w:pPr>
              <w:ind w:firstLineChars="100" w:firstLine="240"/>
              <w:rPr>
                <w:rFonts w:ascii="宋体" w:eastAsia="宋体" w:hAnsi="宋体" w:cs="宋体"/>
                <w:bCs/>
                <w:sz w:val="24"/>
                <w:szCs w:val="24"/>
              </w:rPr>
            </w:pPr>
            <w:r>
              <w:rPr>
                <w:rFonts w:ascii="宋体" w:eastAsia="宋体" w:hAnsi="宋体" w:cs="宋体" w:hint="eastAsia"/>
                <w:bCs/>
                <w:sz w:val="24"/>
                <w:szCs w:val="24"/>
              </w:rPr>
              <w:t>2.1</w:t>
            </w:r>
            <w:r>
              <w:rPr>
                <w:rFonts w:ascii="宋体" w:eastAsia="宋体" w:hAnsi="宋体" w:cs="宋体"/>
                <w:bCs/>
                <w:sz w:val="24"/>
                <w:szCs w:val="24"/>
              </w:rPr>
              <w:t>0</w:t>
            </w:r>
          </w:p>
        </w:tc>
        <w:tc>
          <w:tcPr>
            <w:tcW w:w="4538" w:type="pct"/>
            <w:gridSpan w:val="2"/>
            <w:vAlign w:val="center"/>
          </w:tcPr>
          <w:p w14:paraId="688F2482"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设备配备信息化接口。设备免费开放端口，可与医院信息化系统对接，连接后支持</w:t>
            </w:r>
            <w:proofErr w:type="gramStart"/>
            <w:r>
              <w:rPr>
                <w:rFonts w:asciiTheme="majorEastAsia" w:eastAsiaTheme="majorEastAsia" w:hAnsiTheme="majorEastAsia" w:hint="eastAsia"/>
                <w:bCs/>
                <w:sz w:val="24"/>
                <w:szCs w:val="24"/>
              </w:rPr>
              <w:t>扫码枪扫码</w:t>
            </w:r>
            <w:proofErr w:type="gramEnd"/>
            <w:r>
              <w:rPr>
                <w:rFonts w:asciiTheme="majorEastAsia" w:eastAsiaTheme="majorEastAsia" w:hAnsiTheme="majorEastAsia" w:hint="eastAsia"/>
                <w:bCs/>
                <w:sz w:val="24"/>
                <w:szCs w:val="24"/>
              </w:rPr>
              <w:t>自动输入病人信息资料功能；</w:t>
            </w:r>
          </w:p>
        </w:tc>
      </w:tr>
      <w:tr w:rsidR="006C6DE0" w14:paraId="6D9D0E30" w14:textId="77777777" w:rsidTr="001B23CB">
        <w:trPr>
          <w:trHeight w:val="287"/>
        </w:trPr>
        <w:tc>
          <w:tcPr>
            <w:tcW w:w="462" w:type="pct"/>
          </w:tcPr>
          <w:p w14:paraId="4FF3356E" w14:textId="77777777" w:rsidR="006C6DE0" w:rsidRDefault="00FF03B4">
            <w:pPr>
              <w:ind w:firstLineChars="100" w:firstLine="241"/>
              <w:rPr>
                <w:rFonts w:asciiTheme="majorEastAsia" w:eastAsiaTheme="majorEastAsia" w:hAnsiTheme="majorEastAsia"/>
                <w:b/>
                <w:sz w:val="24"/>
                <w:szCs w:val="24"/>
              </w:rPr>
            </w:pPr>
            <w:r>
              <w:rPr>
                <w:rFonts w:asciiTheme="majorEastAsia" w:eastAsiaTheme="majorEastAsia" w:hAnsiTheme="majorEastAsia" w:hint="eastAsia"/>
                <w:b/>
                <w:sz w:val="24"/>
                <w:szCs w:val="24"/>
              </w:rPr>
              <w:t>三</w:t>
            </w:r>
          </w:p>
        </w:tc>
        <w:tc>
          <w:tcPr>
            <w:tcW w:w="4538" w:type="pct"/>
            <w:gridSpan w:val="2"/>
          </w:tcPr>
          <w:p w14:paraId="0D8894C6" w14:textId="77777777" w:rsidR="006C6DE0" w:rsidRDefault="00FF03B4">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主要配置及附件</w:t>
            </w:r>
          </w:p>
        </w:tc>
      </w:tr>
      <w:tr w:rsidR="006C6DE0" w14:paraId="7FCCEA48" w14:textId="77777777" w:rsidTr="001B23CB">
        <w:trPr>
          <w:trHeight w:val="308"/>
        </w:trPr>
        <w:tc>
          <w:tcPr>
            <w:tcW w:w="462" w:type="pct"/>
          </w:tcPr>
          <w:p w14:paraId="08730997"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3.1</w:t>
            </w:r>
          </w:p>
        </w:tc>
        <w:tc>
          <w:tcPr>
            <w:tcW w:w="4538" w:type="pct"/>
            <w:gridSpan w:val="2"/>
          </w:tcPr>
          <w:p w14:paraId="12F10FAB"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主机（含多种气体分析器）</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台、心肺功能测试分析软件、环境传感器</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套、流量传感器（运动）</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套、流量传感器（营养）</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套、采样线</w:t>
            </w:r>
            <w:r>
              <w:rPr>
                <w:rFonts w:asciiTheme="majorEastAsia" w:eastAsiaTheme="majorEastAsia" w:hAnsiTheme="majorEastAsia"/>
                <w:bCs/>
                <w:sz w:val="24"/>
                <w:szCs w:val="24"/>
              </w:rPr>
              <w:t>1</w:t>
            </w:r>
            <w:r>
              <w:rPr>
                <w:rFonts w:asciiTheme="majorEastAsia" w:eastAsiaTheme="majorEastAsia" w:hAnsiTheme="majorEastAsia" w:hint="eastAsia"/>
                <w:bCs/>
                <w:sz w:val="24"/>
                <w:szCs w:val="24"/>
              </w:rPr>
              <w:t>根、硅胶面罩</w:t>
            </w:r>
            <w:r>
              <w:rPr>
                <w:rFonts w:asciiTheme="majorEastAsia" w:eastAsiaTheme="majorEastAsia" w:hAnsiTheme="majorEastAsia"/>
                <w:bCs/>
                <w:sz w:val="24"/>
                <w:szCs w:val="24"/>
              </w:rPr>
              <w:t>3</w:t>
            </w:r>
            <w:r>
              <w:rPr>
                <w:rFonts w:asciiTheme="majorEastAsia" w:eastAsiaTheme="majorEastAsia" w:hAnsiTheme="majorEastAsia" w:hint="eastAsia"/>
                <w:bCs/>
                <w:sz w:val="24"/>
                <w:szCs w:val="24"/>
              </w:rPr>
              <w:t>个（适配儿童）、移动台车</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辆、定标桶</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个、双屏显示器专用计算机</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套、彩色喷墨打印机</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台、运动定标气体</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瓶、无线</w:t>
            </w:r>
            <w:r>
              <w:rPr>
                <w:rFonts w:asciiTheme="majorEastAsia" w:eastAsiaTheme="majorEastAsia" w:hAnsiTheme="majorEastAsia" w:hint="eastAsia"/>
                <w:bCs/>
                <w:sz w:val="24"/>
                <w:szCs w:val="24"/>
              </w:rPr>
              <w:t>12</w:t>
            </w:r>
            <w:proofErr w:type="gramStart"/>
            <w:r>
              <w:rPr>
                <w:rFonts w:asciiTheme="majorEastAsia" w:eastAsiaTheme="majorEastAsia" w:hAnsiTheme="majorEastAsia" w:hint="eastAsia"/>
                <w:bCs/>
                <w:sz w:val="24"/>
                <w:szCs w:val="24"/>
              </w:rPr>
              <w:t>导运动</w:t>
            </w:r>
            <w:proofErr w:type="gramEnd"/>
            <w:r>
              <w:rPr>
                <w:rFonts w:asciiTheme="majorEastAsia" w:eastAsiaTheme="majorEastAsia" w:hAnsiTheme="majorEastAsia" w:hint="eastAsia"/>
                <w:bCs/>
                <w:sz w:val="24"/>
                <w:szCs w:val="24"/>
              </w:rPr>
              <w:t>心电附件</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套、血氧附件</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套、儿童功率单车</w:t>
            </w:r>
            <w:r>
              <w:rPr>
                <w:rFonts w:asciiTheme="majorEastAsia" w:eastAsiaTheme="majorEastAsia" w:hAnsiTheme="majorEastAsia" w:hint="eastAsia"/>
                <w:bCs/>
                <w:sz w:val="24"/>
                <w:szCs w:val="24"/>
              </w:rPr>
              <w:t>1</w:t>
            </w:r>
            <w:r>
              <w:rPr>
                <w:rFonts w:asciiTheme="majorEastAsia" w:eastAsiaTheme="majorEastAsia" w:hAnsiTheme="majorEastAsia" w:hint="eastAsia"/>
                <w:bCs/>
                <w:sz w:val="24"/>
                <w:szCs w:val="24"/>
              </w:rPr>
              <w:t>台；</w:t>
            </w:r>
            <w:r>
              <w:rPr>
                <w:rFonts w:asciiTheme="majorEastAsia" w:eastAsiaTheme="majorEastAsia" w:hAnsiTheme="majorEastAsia"/>
                <w:bCs/>
                <w:sz w:val="24"/>
                <w:szCs w:val="24"/>
              </w:rPr>
              <w:t xml:space="preserve"> </w:t>
            </w:r>
          </w:p>
        </w:tc>
      </w:tr>
      <w:tr w:rsidR="006C6DE0" w14:paraId="36891B2C" w14:textId="77777777" w:rsidTr="001B23CB">
        <w:trPr>
          <w:trHeight w:val="308"/>
        </w:trPr>
        <w:tc>
          <w:tcPr>
            <w:tcW w:w="462" w:type="pct"/>
          </w:tcPr>
          <w:p w14:paraId="2E042530"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四</w:t>
            </w:r>
          </w:p>
        </w:tc>
        <w:tc>
          <w:tcPr>
            <w:tcW w:w="4538" w:type="pct"/>
            <w:gridSpan w:val="2"/>
          </w:tcPr>
          <w:p w14:paraId="6B5D1721" w14:textId="77777777" w:rsidR="006C6DE0" w:rsidRDefault="00FF03B4">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售后服务要求</w:t>
            </w:r>
          </w:p>
        </w:tc>
      </w:tr>
      <w:tr w:rsidR="006C6DE0" w14:paraId="2276B1BA" w14:textId="77777777" w:rsidTr="001B23CB">
        <w:trPr>
          <w:trHeight w:val="308"/>
        </w:trPr>
        <w:tc>
          <w:tcPr>
            <w:tcW w:w="462" w:type="pct"/>
          </w:tcPr>
          <w:p w14:paraId="45C72A73"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4.1</w:t>
            </w:r>
          </w:p>
        </w:tc>
        <w:tc>
          <w:tcPr>
            <w:tcW w:w="4538" w:type="pct"/>
            <w:gridSpan w:val="2"/>
          </w:tcPr>
          <w:p w14:paraId="4BF3B875" w14:textId="77777777" w:rsidR="006C6DE0" w:rsidRDefault="00FF03B4">
            <w:pPr>
              <w:rPr>
                <w:rFonts w:asciiTheme="majorEastAsia" w:eastAsiaTheme="majorEastAsia" w:hAnsiTheme="majorEastAsia"/>
                <w:b/>
                <w:sz w:val="24"/>
                <w:szCs w:val="24"/>
              </w:rPr>
            </w:pPr>
            <w:r>
              <w:rPr>
                <w:rFonts w:asciiTheme="majorEastAsia" w:eastAsiaTheme="majorEastAsia" w:hAnsiTheme="majorEastAsia" w:hint="eastAsia"/>
                <w:bCs/>
                <w:sz w:val="24"/>
                <w:szCs w:val="24"/>
              </w:rPr>
              <w:t>原厂质保期不少于（</w:t>
            </w:r>
            <w:r>
              <w:rPr>
                <w:rFonts w:asciiTheme="majorEastAsia" w:eastAsiaTheme="majorEastAsia" w:hAnsiTheme="majorEastAsia" w:hint="eastAsia"/>
                <w:bCs/>
                <w:sz w:val="24"/>
                <w:szCs w:val="24"/>
              </w:rPr>
              <w:t xml:space="preserve"> 5 </w:t>
            </w:r>
            <w:r>
              <w:rPr>
                <w:rFonts w:asciiTheme="majorEastAsia" w:eastAsiaTheme="majorEastAsia" w:hAnsiTheme="majorEastAsia" w:hint="eastAsia"/>
                <w:bCs/>
                <w:sz w:val="24"/>
                <w:szCs w:val="24"/>
              </w:rPr>
              <w:t>）年</w:t>
            </w:r>
            <w:r>
              <w:rPr>
                <w:rFonts w:asciiTheme="majorEastAsia" w:eastAsiaTheme="majorEastAsia" w:hAnsiTheme="majorEastAsia" w:hint="eastAsia"/>
                <w:bCs/>
                <w:sz w:val="24"/>
                <w:szCs w:val="24"/>
              </w:rPr>
              <w:t xml:space="preserve">                           </w:t>
            </w:r>
          </w:p>
        </w:tc>
      </w:tr>
      <w:tr w:rsidR="006C6DE0" w14:paraId="18905C16" w14:textId="77777777" w:rsidTr="001B23CB">
        <w:trPr>
          <w:trHeight w:val="308"/>
        </w:trPr>
        <w:tc>
          <w:tcPr>
            <w:tcW w:w="462" w:type="pct"/>
          </w:tcPr>
          <w:p w14:paraId="4ECF50F2"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4.2</w:t>
            </w:r>
          </w:p>
        </w:tc>
        <w:tc>
          <w:tcPr>
            <w:tcW w:w="4538" w:type="pct"/>
            <w:gridSpan w:val="2"/>
          </w:tcPr>
          <w:p w14:paraId="04657750" w14:textId="77777777" w:rsidR="006C6DE0" w:rsidRDefault="00FF03B4">
            <w:pPr>
              <w:rPr>
                <w:rFonts w:asciiTheme="majorEastAsia" w:eastAsiaTheme="majorEastAsia" w:hAnsiTheme="majorEastAsia"/>
                <w:bCs/>
                <w:sz w:val="24"/>
                <w:szCs w:val="24"/>
              </w:rPr>
            </w:pPr>
            <w:r>
              <w:rPr>
                <w:rFonts w:ascii="宋体" w:eastAsia="宋体" w:hAnsi="宋体" w:cs="宋体" w:hint="eastAsia"/>
                <w:sz w:val="24"/>
                <w:szCs w:val="24"/>
              </w:rPr>
              <w:t>大型设备（单价≥</w:t>
            </w:r>
            <w:r>
              <w:rPr>
                <w:rFonts w:ascii="宋体" w:eastAsia="宋体" w:hAnsi="宋体" w:cs="宋体" w:hint="eastAsia"/>
                <w:sz w:val="24"/>
                <w:szCs w:val="24"/>
              </w:rPr>
              <w:t>10</w:t>
            </w:r>
            <w:r>
              <w:rPr>
                <w:rFonts w:ascii="宋体" w:eastAsia="宋体" w:hAnsi="宋体" w:cs="宋体" w:hint="eastAsia"/>
                <w:sz w:val="24"/>
                <w:szCs w:val="24"/>
              </w:rPr>
              <w:t>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生物安全相关设备等，验收时需提供经采购人认可的且具有资质的检测机构出具的检测合格报告，相关费用包含在投标总价中</w:t>
            </w:r>
          </w:p>
        </w:tc>
      </w:tr>
      <w:tr w:rsidR="006C6DE0" w14:paraId="0EA7E65E" w14:textId="77777777" w:rsidTr="001B23CB">
        <w:trPr>
          <w:trHeight w:val="308"/>
        </w:trPr>
        <w:tc>
          <w:tcPr>
            <w:tcW w:w="462" w:type="pct"/>
          </w:tcPr>
          <w:p w14:paraId="7D928CE4"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4.3</w:t>
            </w:r>
          </w:p>
        </w:tc>
        <w:tc>
          <w:tcPr>
            <w:tcW w:w="4538" w:type="pct"/>
            <w:gridSpan w:val="2"/>
          </w:tcPr>
          <w:p w14:paraId="46580406" w14:textId="77777777" w:rsidR="006C6DE0" w:rsidRDefault="00FF03B4">
            <w:pPr>
              <w:rPr>
                <w:rFonts w:asciiTheme="majorEastAsia" w:eastAsiaTheme="majorEastAsia" w:hAnsiTheme="majorEastAsia"/>
                <w:bCs/>
                <w:sz w:val="24"/>
                <w:szCs w:val="24"/>
              </w:rPr>
            </w:pPr>
            <w:r>
              <w:rPr>
                <w:rFonts w:ascii="宋体" w:eastAsia="宋体" w:hAnsi="宋体" w:cs="宋体" w:hint="eastAsia"/>
                <w:sz w:val="24"/>
                <w:szCs w:val="24"/>
              </w:rPr>
              <w:t>设备实现与院内信息系统（如</w:t>
            </w:r>
            <w:r>
              <w:rPr>
                <w:rFonts w:ascii="宋体" w:eastAsia="宋体" w:hAnsi="宋体" w:cs="宋体" w:hint="eastAsia"/>
                <w:sz w:val="24"/>
                <w:szCs w:val="24"/>
              </w:rPr>
              <w:t>HIS</w:t>
            </w:r>
            <w:r>
              <w:rPr>
                <w:rFonts w:ascii="宋体" w:eastAsia="宋体" w:hAnsi="宋体" w:cs="宋体" w:hint="eastAsia"/>
                <w:sz w:val="24"/>
                <w:szCs w:val="24"/>
              </w:rPr>
              <w:t>、</w:t>
            </w:r>
            <w:r>
              <w:rPr>
                <w:rFonts w:ascii="宋体" w:eastAsia="宋体" w:hAnsi="宋体" w:cs="宋体" w:hint="eastAsia"/>
                <w:sz w:val="24"/>
                <w:szCs w:val="24"/>
              </w:rPr>
              <w:t>LIS</w:t>
            </w:r>
            <w:r>
              <w:rPr>
                <w:rFonts w:ascii="宋体" w:eastAsia="宋体" w:hAnsi="宋体" w:cs="宋体" w:hint="eastAsia"/>
                <w:sz w:val="24"/>
                <w:szCs w:val="24"/>
              </w:rPr>
              <w:t>、</w:t>
            </w:r>
            <w:r>
              <w:rPr>
                <w:rFonts w:ascii="宋体" w:eastAsia="宋体" w:hAnsi="宋体" w:cs="宋体" w:hint="eastAsia"/>
                <w:sz w:val="24"/>
                <w:szCs w:val="24"/>
              </w:rPr>
              <w:t>PACS</w:t>
            </w:r>
            <w:r>
              <w:rPr>
                <w:rFonts w:ascii="宋体" w:eastAsia="宋体" w:hAnsi="宋体" w:cs="宋体" w:hint="eastAsia"/>
                <w:sz w:val="24"/>
                <w:szCs w:val="24"/>
              </w:rPr>
              <w:t>等）的无缝对接，接入方案要求支持标准数据接口（如</w:t>
            </w:r>
            <w:r>
              <w:rPr>
                <w:rFonts w:ascii="宋体" w:eastAsia="宋体" w:hAnsi="宋体" w:cs="宋体" w:hint="eastAsia"/>
                <w:sz w:val="24"/>
                <w:szCs w:val="24"/>
              </w:rPr>
              <w:t>HL7</w:t>
            </w:r>
            <w:r>
              <w:rPr>
                <w:rFonts w:ascii="宋体" w:eastAsia="宋体" w:hAnsi="宋体" w:cs="宋体" w:hint="eastAsia"/>
                <w:sz w:val="24"/>
                <w:szCs w:val="24"/>
              </w:rPr>
              <w:t>、</w:t>
            </w:r>
            <w:r>
              <w:rPr>
                <w:rFonts w:ascii="宋体" w:eastAsia="宋体" w:hAnsi="宋体" w:cs="宋体" w:hint="eastAsia"/>
                <w:sz w:val="24"/>
                <w:szCs w:val="24"/>
              </w:rPr>
              <w:t>DICOM</w:t>
            </w:r>
            <w:r>
              <w:rPr>
                <w:rFonts w:ascii="宋体" w:eastAsia="宋体" w:hAnsi="宋体" w:cs="宋体" w:hint="eastAsia"/>
                <w:sz w:val="24"/>
                <w:szCs w:val="24"/>
              </w:rPr>
              <w:t>），并提供开放</w:t>
            </w:r>
            <w:r>
              <w:rPr>
                <w:rFonts w:ascii="宋体" w:eastAsia="宋体" w:hAnsi="宋体" w:cs="宋体" w:hint="eastAsia"/>
                <w:sz w:val="24"/>
                <w:szCs w:val="24"/>
              </w:rPr>
              <w:t>API</w:t>
            </w:r>
            <w:r>
              <w:rPr>
                <w:rFonts w:ascii="宋体" w:eastAsia="宋体" w:hAnsi="宋体" w:cs="宋体" w:hint="eastAsia"/>
                <w:sz w:val="24"/>
                <w:szCs w:val="24"/>
              </w:rPr>
              <w:t>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6C6DE0" w14:paraId="1B020241" w14:textId="77777777" w:rsidTr="001B23CB">
        <w:trPr>
          <w:trHeight w:val="308"/>
        </w:trPr>
        <w:tc>
          <w:tcPr>
            <w:tcW w:w="462" w:type="pct"/>
          </w:tcPr>
          <w:p w14:paraId="53123463"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4.4</w:t>
            </w:r>
          </w:p>
        </w:tc>
        <w:tc>
          <w:tcPr>
            <w:tcW w:w="4538" w:type="pct"/>
            <w:gridSpan w:val="2"/>
          </w:tcPr>
          <w:p w14:paraId="5A02B1D8"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其他</w:t>
            </w:r>
            <w:r>
              <w:rPr>
                <w:rFonts w:asciiTheme="majorEastAsia" w:eastAsiaTheme="majorEastAsia" w:hAnsiTheme="majorEastAsia" w:hint="eastAsia"/>
                <w:bCs/>
                <w:sz w:val="24"/>
                <w:szCs w:val="24"/>
              </w:rPr>
              <w:t>：</w:t>
            </w:r>
          </w:p>
        </w:tc>
      </w:tr>
      <w:tr w:rsidR="006C6DE0" w14:paraId="43EB2B52" w14:textId="77777777" w:rsidTr="001B23CB">
        <w:trPr>
          <w:trHeight w:val="308"/>
        </w:trPr>
        <w:tc>
          <w:tcPr>
            <w:tcW w:w="462" w:type="pct"/>
          </w:tcPr>
          <w:p w14:paraId="74334E27" w14:textId="77777777" w:rsidR="006C6DE0" w:rsidRDefault="00FF03B4">
            <w:pPr>
              <w:ind w:firstLineChars="100" w:firstLine="240"/>
              <w:rPr>
                <w:rFonts w:asciiTheme="majorEastAsia" w:eastAsiaTheme="majorEastAsia" w:hAnsiTheme="majorEastAsia"/>
                <w:bCs/>
                <w:sz w:val="24"/>
                <w:szCs w:val="24"/>
              </w:rPr>
            </w:pPr>
            <w:bookmarkStart w:id="0" w:name="_GoBack"/>
            <w:bookmarkEnd w:id="0"/>
            <w:r>
              <w:rPr>
                <w:rFonts w:asciiTheme="majorEastAsia" w:eastAsiaTheme="majorEastAsia" w:hAnsiTheme="majorEastAsia" w:hint="eastAsia"/>
                <w:bCs/>
                <w:sz w:val="24"/>
                <w:szCs w:val="24"/>
              </w:rPr>
              <w:t>五</w:t>
            </w:r>
          </w:p>
        </w:tc>
        <w:tc>
          <w:tcPr>
            <w:tcW w:w="4538" w:type="pct"/>
            <w:gridSpan w:val="2"/>
          </w:tcPr>
          <w:p w14:paraId="306C7120" w14:textId="77777777" w:rsidR="006C6DE0" w:rsidRDefault="00FF03B4">
            <w:pPr>
              <w:jc w:val="center"/>
              <w:rPr>
                <w:rFonts w:asciiTheme="majorEastAsia" w:eastAsiaTheme="majorEastAsia" w:hAnsiTheme="majorEastAsia"/>
                <w:bCs/>
                <w:sz w:val="24"/>
                <w:szCs w:val="24"/>
              </w:rPr>
            </w:pPr>
            <w:r>
              <w:rPr>
                <w:rFonts w:asciiTheme="majorEastAsia" w:eastAsiaTheme="majorEastAsia" w:hAnsiTheme="majorEastAsia" w:hint="eastAsia"/>
                <w:b/>
                <w:sz w:val="24"/>
                <w:szCs w:val="24"/>
              </w:rPr>
              <w:t>配套耗材情况</w:t>
            </w:r>
          </w:p>
        </w:tc>
      </w:tr>
      <w:tr w:rsidR="006C6DE0" w14:paraId="141B5C7F" w14:textId="77777777" w:rsidTr="001B23CB">
        <w:trPr>
          <w:trHeight w:val="308"/>
        </w:trPr>
        <w:tc>
          <w:tcPr>
            <w:tcW w:w="462" w:type="pct"/>
          </w:tcPr>
          <w:p w14:paraId="6A1EE598"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5.1</w:t>
            </w:r>
          </w:p>
        </w:tc>
        <w:tc>
          <w:tcPr>
            <w:tcW w:w="4538" w:type="pct"/>
            <w:gridSpan w:val="2"/>
          </w:tcPr>
          <w:p w14:paraId="40D800CB"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一次性肺功能过滤器</w:t>
            </w:r>
          </w:p>
        </w:tc>
      </w:tr>
      <w:tr w:rsidR="006C6DE0" w14:paraId="01FB3195" w14:textId="77777777" w:rsidTr="001B23CB">
        <w:trPr>
          <w:trHeight w:val="308"/>
        </w:trPr>
        <w:tc>
          <w:tcPr>
            <w:tcW w:w="462" w:type="pct"/>
          </w:tcPr>
          <w:p w14:paraId="534D4E72"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5.2</w:t>
            </w:r>
          </w:p>
        </w:tc>
        <w:tc>
          <w:tcPr>
            <w:tcW w:w="4538" w:type="pct"/>
            <w:gridSpan w:val="2"/>
          </w:tcPr>
          <w:p w14:paraId="1888479B"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一次性面罩</w:t>
            </w:r>
          </w:p>
        </w:tc>
      </w:tr>
      <w:tr w:rsidR="006C6DE0" w14:paraId="61C05E08" w14:textId="77777777" w:rsidTr="001B23CB">
        <w:trPr>
          <w:trHeight w:val="308"/>
        </w:trPr>
        <w:tc>
          <w:tcPr>
            <w:tcW w:w="462" w:type="pct"/>
          </w:tcPr>
          <w:p w14:paraId="099B0211" w14:textId="77777777" w:rsidR="006C6DE0" w:rsidRDefault="00FF03B4">
            <w:pPr>
              <w:ind w:firstLineChars="100" w:firstLine="240"/>
              <w:rPr>
                <w:rFonts w:asciiTheme="majorEastAsia" w:eastAsiaTheme="majorEastAsia" w:hAnsiTheme="majorEastAsia"/>
                <w:bCs/>
                <w:sz w:val="24"/>
                <w:szCs w:val="24"/>
              </w:rPr>
            </w:pPr>
            <w:r>
              <w:rPr>
                <w:rFonts w:asciiTheme="majorEastAsia" w:eastAsiaTheme="majorEastAsia" w:hAnsiTheme="majorEastAsia" w:hint="eastAsia"/>
                <w:bCs/>
                <w:sz w:val="24"/>
                <w:szCs w:val="24"/>
              </w:rPr>
              <w:t>5.3</w:t>
            </w:r>
          </w:p>
        </w:tc>
        <w:tc>
          <w:tcPr>
            <w:tcW w:w="4538" w:type="pct"/>
            <w:gridSpan w:val="2"/>
          </w:tcPr>
          <w:p w14:paraId="265EB273" w14:textId="77777777" w:rsidR="006C6DE0" w:rsidRDefault="00FF03B4">
            <w:pPr>
              <w:rPr>
                <w:rFonts w:asciiTheme="majorEastAsia" w:eastAsiaTheme="majorEastAsia" w:hAnsiTheme="majorEastAsia"/>
                <w:bCs/>
                <w:sz w:val="24"/>
                <w:szCs w:val="24"/>
              </w:rPr>
            </w:pPr>
            <w:r>
              <w:rPr>
                <w:rFonts w:asciiTheme="majorEastAsia" w:eastAsiaTheme="majorEastAsia" w:hAnsiTheme="majorEastAsia" w:hint="eastAsia"/>
                <w:bCs/>
                <w:sz w:val="24"/>
                <w:szCs w:val="24"/>
              </w:rPr>
              <w:t>定标气体</w:t>
            </w:r>
          </w:p>
        </w:tc>
      </w:tr>
    </w:tbl>
    <w:p w14:paraId="4FE24802" w14:textId="77777777" w:rsidR="006C6DE0" w:rsidRDefault="006C6DE0">
      <w:pPr>
        <w:spacing w:line="360" w:lineRule="auto"/>
        <w:rPr>
          <w:sz w:val="24"/>
          <w:szCs w:val="24"/>
          <w:u w:val="single"/>
        </w:rPr>
      </w:pPr>
    </w:p>
    <w:sectPr w:rsidR="006C6DE0" w:rsidSect="001B23CB">
      <w:pgSz w:w="11906" w:h="16838"/>
      <w:pgMar w:top="794" w:right="1797" w:bottom="794"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093CF3" w14:textId="77777777" w:rsidR="00FF03B4" w:rsidRDefault="00FF03B4" w:rsidP="001B23CB">
      <w:r>
        <w:separator/>
      </w:r>
    </w:p>
  </w:endnote>
  <w:endnote w:type="continuationSeparator" w:id="0">
    <w:p w14:paraId="75A13754" w14:textId="77777777" w:rsidR="00FF03B4" w:rsidRDefault="00FF03B4" w:rsidP="001B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4DBB7" w14:textId="77777777" w:rsidR="00FF03B4" w:rsidRDefault="00FF03B4" w:rsidP="001B23CB">
      <w:r>
        <w:separator/>
      </w:r>
    </w:p>
  </w:footnote>
  <w:footnote w:type="continuationSeparator" w:id="0">
    <w:p w14:paraId="0AFC2249" w14:textId="77777777" w:rsidR="00FF03B4" w:rsidRDefault="00FF03B4" w:rsidP="001B23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012C11"/>
    <w:rsid w:val="00037D03"/>
    <w:rsid w:val="0004204D"/>
    <w:rsid w:val="000700E6"/>
    <w:rsid w:val="0009007F"/>
    <w:rsid w:val="000E23BC"/>
    <w:rsid w:val="00134711"/>
    <w:rsid w:val="00146E40"/>
    <w:rsid w:val="00152233"/>
    <w:rsid w:val="00172299"/>
    <w:rsid w:val="0017579A"/>
    <w:rsid w:val="001866BB"/>
    <w:rsid w:val="001917CB"/>
    <w:rsid w:val="001B23CB"/>
    <w:rsid w:val="00226D9E"/>
    <w:rsid w:val="00286C7C"/>
    <w:rsid w:val="002A35FD"/>
    <w:rsid w:val="002D2437"/>
    <w:rsid w:val="002D558F"/>
    <w:rsid w:val="00314669"/>
    <w:rsid w:val="0034260F"/>
    <w:rsid w:val="003D0605"/>
    <w:rsid w:val="003E0E56"/>
    <w:rsid w:val="003E64EE"/>
    <w:rsid w:val="00400177"/>
    <w:rsid w:val="00422D49"/>
    <w:rsid w:val="00425BA6"/>
    <w:rsid w:val="00440518"/>
    <w:rsid w:val="00480B3A"/>
    <w:rsid w:val="0049255E"/>
    <w:rsid w:val="004C2043"/>
    <w:rsid w:val="004D55A2"/>
    <w:rsid w:val="004F35AA"/>
    <w:rsid w:val="00505C4B"/>
    <w:rsid w:val="00556033"/>
    <w:rsid w:val="00573DE4"/>
    <w:rsid w:val="005751E5"/>
    <w:rsid w:val="0059072F"/>
    <w:rsid w:val="0059505D"/>
    <w:rsid w:val="005A3085"/>
    <w:rsid w:val="005D2622"/>
    <w:rsid w:val="0060789A"/>
    <w:rsid w:val="006775C7"/>
    <w:rsid w:val="006B7442"/>
    <w:rsid w:val="006C6DE0"/>
    <w:rsid w:val="006D6061"/>
    <w:rsid w:val="0073551D"/>
    <w:rsid w:val="00762835"/>
    <w:rsid w:val="007F0BBB"/>
    <w:rsid w:val="008031F8"/>
    <w:rsid w:val="00822DC7"/>
    <w:rsid w:val="00856C53"/>
    <w:rsid w:val="00857994"/>
    <w:rsid w:val="008951D2"/>
    <w:rsid w:val="008C0EFD"/>
    <w:rsid w:val="008E01B1"/>
    <w:rsid w:val="008E221C"/>
    <w:rsid w:val="008F3C27"/>
    <w:rsid w:val="00963FCE"/>
    <w:rsid w:val="009E12E6"/>
    <w:rsid w:val="00A31408"/>
    <w:rsid w:val="00A83C8A"/>
    <w:rsid w:val="00AA43E7"/>
    <w:rsid w:val="00AA71F2"/>
    <w:rsid w:val="00AC32DF"/>
    <w:rsid w:val="00B07F51"/>
    <w:rsid w:val="00B13759"/>
    <w:rsid w:val="00B35AFD"/>
    <w:rsid w:val="00B76AB5"/>
    <w:rsid w:val="00B83CF6"/>
    <w:rsid w:val="00C04660"/>
    <w:rsid w:val="00C13DA0"/>
    <w:rsid w:val="00C66B3B"/>
    <w:rsid w:val="00CB2BC0"/>
    <w:rsid w:val="00CE4538"/>
    <w:rsid w:val="00D74BBA"/>
    <w:rsid w:val="00DE3F1E"/>
    <w:rsid w:val="00DF7C92"/>
    <w:rsid w:val="00E05067"/>
    <w:rsid w:val="00E43478"/>
    <w:rsid w:val="00E466F0"/>
    <w:rsid w:val="00F30745"/>
    <w:rsid w:val="00F773F4"/>
    <w:rsid w:val="00FF03B4"/>
    <w:rsid w:val="06CC6306"/>
    <w:rsid w:val="07A70F85"/>
    <w:rsid w:val="099077F7"/>
    <w:rsid w:val="0A92679B"/>
    <w:rsid w:val="0B876571"/>
    <w:rsid w:val="0F2C1D70"/>
    <w:rsid w:val="10477E7E"/>
    <w:rsid w:val="1ADC4941"/>
    <w:rsid w:val="208E5D79"/>
    <w:rsid w:val="24303C58"/>
    <w:rsid w:val="26651C51"/>
    <w:rsid w:val="28331C1B"/>
    <w:rsid w:val="2EE34571"/>
    <w:rsid w:val="30572F78"/>
    <w:rsid w:val="34480AEF"/>
    <w:rsid w:val="38A03D8B"/>
    <w:rsid w:val="397F500E"/>
    <w:rsid w:val="40000B87"/>
    <w:rsid w:val="4207575F"/>
    <w:rsid w:val="443B2CEC"/>
    <w:rsid w:val="44C578EC"/>
    <w:rsid w:val="4A946440"/>
    <w:rsid w:val="4AFB588F"/>
    <w:rsid w:val="4F361873"/>
    <w:rsid w:val="5118618C"/>
    <w:rsid w:val="51D0666D"/>
    <w:rsid w:val="59CE33A8"/>
    <w:rsid w:val="5A6076D7"/>
    <w:rsid w:val="5BB87046"/>
    <w:rsid w:val="5F7056A6"/>
    <w:rsid w:val="61386D43"/>
    <w:rsid w:val="663336A5"/>
    <w:rsid w:val="66D23DE2"/>
    <w:rsid w:val="67212ADF"/>
    <w:rsid w:val="69DB0917"/>
    <w:rsid w:val="6E873EA7"/>
    <w:rsid w:val="70326D5C"/>
    <w:rsid w:val="72901CD2"/>
    <w:rsid w:val="73691968"/>
    <w:rsid w:val="74223885"/>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unhideWhenUsed="0"/>
    <w:lsdException w:name="footer" w:semiHidden="0" w:unhideWhenUsed="0"/>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table" w:styleId="a5">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rPr>
      <w:kern w:val="2"/>
      <w:sz w:val="18"/>
      <w:szCs w:val="18"/>
    </w:rPr>
  </w:style>
  <w:style w:type="character" w:customStyle="1" w:styleId="Char">
    <w:name w:val="页脚 Char"/>
    <w:basedOn w:val="a0"/>
    <w:link w:val="a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4</cp:revision>
  <cp:lastPrinted>2025-06-04T01:00:00Z</cp:lastPrinted>
  <dcterms:created xsi:type="dcterms:W3CDTF">2025-08-06T02:38:00Z</dcterms:created>
  <dcterms:modified xsi:type="dcterms:W3CDTF">2025-08-13T06:01:00Z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