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DF482E">
      <w:pPr>
        <w:pStyle w:val="2"/>
        <w:keepNext/>
        <w:keepLines w:val="0"/>
        <w:pageBreakBefore w:val="0"/>
        <w:widowControl w:val="0"/>
        <w:kinsoku/>
        <w:wordWrap/>
        <w:overflowPunct/>
        <w:topLinePunct w:val="0"/>
        <w:autoSpaceDE/>
        <w:autoSpaceDN/>
        <w:bidi w:val="0"/>
        <w:adjustRightInd/>
        <w:snapToGrid w:val="0"/>
        <w:spacing w:before="157" w:beforeLines="50" w:after="157" w:afterLines="50" w:line="400" w:lineRule="exact"/>
        <w:textAlignment w:val="auto"/>
        <w:rPr>
          <w:rFonts w:ascii="宋体" w:hAnsi="宋体" w:eastAsia="宋体" w:cs="宋体"/>
          <w:b/>
          <w:bCs w:val="0"/>
          <w:color w:val="auto"/>
          <w:sz w:val="28"/>
          <w:szCs w:val="28"/>
        </w:rPr>
      </w:pPr>
      <w:bookmarkStart w:id="0" w:name="_Toc495317669"/>
      <w:r>
        <w:rPr>
          <w:rFonts w:hint="eastAsia" w:ascii="宋体" w:hAnsi="宋体" w:eastAsia="宋体" w:cs="宋体"/>
          <w:b/>
          <w:bCs w:val="0"/>
          <w:color w:val="auto"/>
          <w:kern w:val="2"/>
          <w:sz w:val="28"/>
          <w:szCs w:val="28"/>
          <w:lang w:val="en-US" w:eastAsia="zh-CN" w:bidi="ar-SA"/>
        </w:rPr>
        <w:t xml:space="preserve">  </w:t>
      </w:r>
      <w:bookmarkEnd w:id="0"/>
      <w:r>
        <w:rPr>
          <w:rFonts w:hint="eastAsia" w:ascii="宋体" w:hAnsi="宋体" w:eastAsia="宋体" w:cs="宋体"/>
          <w:b/>
          <w:bCs w:val="0"/>
          <w:color w:val="auto"/>
          <w:sz w:val="28"/>
          <w:szCs w:val="28"/>
        </w:rPr>
        <w:t xml:space="preserve">  初步采购内容及需求</w:t>
      </w:r>
    </w:p>
    <w:p w14:paraId="45F49F8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bCs w:val="0"/>
          <w:szCs w:val="21"/>
        </w:rPr>
        <w:t>一、检测项目：</w:t>
      </w:r>
      <w:r>
        <w:rPr>
          <w:rFonts w:hint="eastAsia" w:ascii="宋体" w:hAnsi="宋体" w:cs="宋体"/>
          <w:b w:val="0"/>
          <w:bCs/>
          <w:szCs w:val="21"/>
          <w:lang w:val="en-US" w:eastAsia="zh-CN"/>
        </w:rPr>
        <w:t>Astral-DIA蛋白质组学测序、Olink蛋白质组学测序</w:t>
      </w:r>
    </w:p>
    <w:p w14:paraId="67BB781B">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bCs w:val="0"/>
          <w:szCs w:val="21"/>
        </w:rPr>
      </w:pPr>
      <w:r>
        <w:rPr>
          <w:rFonts w:hint="eastAsia" w:ascii="宋体" w:hAnsi="宋体" w:cs="宋体"/>
          <w:b/>
          <w:bCs w:val="0"/>
          <w:szCs w:val="21"/>
        </w:rPr>
        <w:t>二、技术要求：</w:t>
      </w:r>
    </w:p>
    <w:p w14:paraId="64CF6093">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rPr>
        <w:t>1.</w:t>
      </w:r>
      <w:r>
        <w:rPr>
          <w:rFonts w:hint="eastAsia" w:ascii="宋体" w:hAnsi="宋体" w:cs="宋体"/>
          <w:b w:val="0"/>
          <w:bCs/>
          <w:szCs w:val="21"/>
          <w:lang w:val="en-US" w:eastAsia="zh-CN"/>
        </w:rPr>
        <w:t>Astral-DIA蛋白质组学测序</w:t>
      </w:r>
      <w:r>
        <w:rPr>
          <w:rFonts w:hint="eastAsia" w:ascii="宋体" w:hAnsi="宋体" w:cs="宋体"/>
          <w:b w:val="0"/>
          <w:bCs/>
          <w:szCs w:val="21"/>
        </w:rPr>
        <w:t>：</w:t>
      </w:r>
      <w:r>
        <w:rPr>
          <w:rFonts w:hint="eastAsia" w:ascii="宋体" w:hAnsi="宋体" w:cs="宋体"/>
          <w:b w:val="0"/>
          <w:bCs/>
          <w:szCs w:val="21"/>
          <w:lang w:val="en-US" w:eastAsia="zh-CN"/>
        </w:rPr>
        <w:t>提取样本中的总蛋白，利用 BCA法测定蛋白浓度，并对其进行质控，质控合格之后，直接进行LC-MSMS 分析，利用高分辨率质谱仪获取蛋白质谱数据，并通过专用软件及生物信息学方法对差异表达蛋白进行定量分析和功能注释。</w:t>
      </w:r>
    </w:p>
    <w:p w14:paraId="32BA080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rPr>
      </w:pPr>
      <w:r>
        <w:rPr>
          <w:rFonts w:hint="eastAsia" w:ascii="宋体" w:hAnsi="宋体" w:cs="宋体"/>
          <w:b w:val="0"/>
          <w:bCs/>
          <w:szCs w:val="21"/>
        </w:rPr>
        <w:t>2.</w:t>
      </w:r>
      <w:r>
        <w:rPr>
          <w:rFonts w:hint="eastAsia" w:ascii="宋体" w:hAnsi="宋体" w:cs="宋体"/>
          <w:b w:val="0"/>
          <w:bCs/>
          <w:szCs w:val="21"/>
          <w:lang w:val="en-US" w:eastAsia="zh-CN"/>
        </w:rPr>
        <w:t>Olink蛋白质组学测序</w:t>
      </w:r>
      <w:r>
        <w:rPr>
          <w:rFonts w:hint="eastAsia" w:ascii="宋体" w:hAnsi="宋体" w:cs="宋体"/>
          <w:b w:val="0"/>
          <w:bCs/>
          <w:szCs w:val="21"/>
        </w:rPr>
        <w:t>：基于olink技术对人类样本中</w:t>
      </w:r>
      <w:r>
        <w:rPr>
          <w:rFonts w:hint="eastAsia" w:ascii="宋体" w:hAnsi="宋体" w:cs="宋体"/>
          <w:b w:val="0"/>
          <w:bCs/>
          <w:szCs w:val="21"/>
          <w:lang w:val="en-US" w:eastAsia="zh-CN"/>
        </w:rPr>
        <w:t>5416</w:t>
      </w:r>
      <w:r>
        <w:rPr>
          <w:rFonts w:hint="eastAsia" w:ascii="宋体" w:hAnsi="宋体" w:cs="宋体"/>
          <w:b w:val="0"/>
          <w:bCs/>
          <w:szCs w:val="21"/>
        </w:rPr>
        <w:t>个蛋白生物标志物进行多重检测</w:t>
      </w:r>
      <w:r>
        <w:rPr>
          <w:rFonts w:hint="eastAsia" w:ascii="宋体" w:hAnsi="宋体" w:cs="宋体"/>
          <w:b w:val="0"/>
          <w:bCs/>
          <w:szCs w:val="21"/>
          <w:lang w:val="en-US" w:eastAsia="zh-CN"/>
        </w:rPr>
        <w:t>，最后对下机数据进行分析，并按照参数要求交付结果。</w:t>
      </w:r>
    </w:p>
    <w:p w14:paraId="5CA913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val="0"/>
          <w:szCs w:val="21"/>
        </w:rPr>
      </w:pPr>
      <w:r>
        <w:rPr>
          <w:rFonts w:hint="eastAsia" w:ascii="宋体" w:hAnsi="宋体" w:cs="宋体"/>
          <w:b/>
          <w:bCs w:val="0"/>
          <w:szCs w:val="21"/>
        </w:rPr>
        <w:t>三、具体参数要求：</w:t>
      </w:r>
    </w:p>
    <w:tbl>
      <w:tblPr>
        <w:tblStyle w:val="6"/>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5297"/>
        <w:gridCol w:w="983"/>
      </w:tblGrid>
      <w:tr w14:paraId="19EE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884" w:type="pct"/>
            <w:shd w:val="clear" w:color="000000" w:fill="FFFFFF" w:themeFill="background1"/>
            <w:vAlign w:val="center"/>
          </w:tcPr>
          <w:p w14:paraId="0485A721">
            <w:pPr>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cs="宋体"/>
                <w:b/>
                <w:bCs w:val="0"/>
                <w:szCs w:val="21"/>
              </w:rPr>
            </w:pPr>
            <w:r>
              <w:rPr>
                <w:rFonts w:hint="eastAsia" w:ascii="宋体" w:hAnsi="宋体" w:cs="宋体"/>
                <w:b/>
                <w:bCs w:val="0"/>
                <w:szCs w:val="21"/>
              </w:rPr>
              <w:t>项目名称</w:t>
            </w:r>
          </w:p>
        </w:tc>
        <w:tc>
          <w:tcPr>
            <w:tcW w:w="3471" w:type="pct"/>
            <w:shd w:val="clear" w:color="000000" w:fill="FFFFFF" w:themeFill="background1"/>
            <w:vAlign w:val="center"/>
          </w:tcPr>
          <w:p w14:paraId="1FB9E3A2">
            <w:pPr>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cs="宋体"/>
                <w:b/>
                <w:bCs w:val="0"/>
                <w:szCs w:val="21"/>
              </w:rPr>
            </w:pPr>
            <w:r>
              <w:rPr>
                <w:rFonts w:hint="eastAsia" w:ascii="宋体" w:hAnsi="宋体" w:cs="宋体"/>
                <w:b/>
                <w:bCs w:val="0"/>
                <w:szCs w:val="21"/>
              </w:rPr>
              <w:t>具体技术（参数）要求</w:t>
            </w:r>
          </w:p>
        </w:tc>
        <w:tc>
          <w:tcPr>
            <w:tcW w:w="644" w:type="pct"/>
            <w:shd w:val="clear" w:color="000000" w:fill="FFFFFF" w:themeFill="background1"/>
            <w:vAlign w:val="center"/>
          </w:tcPr>
          <w:p w14:paraId="3AB223AD">
            <w:pPr>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cs="宋体"/>
                <w:b/>
                <w:bCs w:val="0"/>
                <w:szCs w:val="21"/>
              </w:rPr>
            </w:pPr>
            <w:r>
              <w:rPr>
                <w:rFonts w:hint="eastAsia" w:ascii="宋体" w:hAnsi="宋体" w:cs="宋体"/>
                <w:b/>
                <w:bCs w:val="0"/>
                <w:szCs w:val="21"/>
              </w:rPr>
              <w:t>采购量（年）</w:t>
            </w:r>
          </w:p>
        </w:tc>
      </w:tr>
      <w:tr w14:paraId="600A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84" w:type="pct"/>
            <w:vAlign w:val="center"/>
          </w:tcPr>
          <w:p w14:paraId="31C0759C">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bCs w:val="0"/>
                <w:szCs w:val="21"/>
              </w:rPr>
            </w:pPr>
            <w:r>
              <w:rPr>
                <w:rFonts w:hint="eastAsia" w:ascii="宋体" w:hAnsi="宋体" w:cs="宋体"/>
                <w:b/>
                <w:bCs w:val="0"/>
                <w:szCs w:val="21"/>
              </w:rPr>
              <w:t>Astral-DIA</w:t>
            </w:r>
          </w:p>
          <w:p w14:paraId="20D22BF5">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bCs w:val="0"/>
                <w:szCs w:val="21"/>
              </w:rPr>
              <w:t>蛋白质组学测序</w:t>
            </w:r>
          </w:p>
        </w:tc>
        <w:tc>
          <w:tcPr>
            <w:tcW w:w="3471" w:type="pct"/>
            <w:vAlign w:val="center"/>
          </w:tcPr>
          <w:p w14:paraId="5F0C85D7">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bCs w:val="0"/>
                <w:szCs w:val="21"/>
              </w:rPr>
              <w:t>详细技术要求</w:t>
            </w:r>
          </w:p>
          <w:p w14:paraId="74055F15">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eastAsia="zh-CN"/>
              </w:rPr>
            </w:pPr>
            <w:r>
              <w:rPr>
                <w:rFonts w:hint="eastAsia" w:ascii="宋体" w:hAnsi="宋体" w:cs="宋体"/>
                <w:b w:val="0"/>
                <w:bCs/>
                <w:szCs w:val="21"/>
              </w:rPr>
              <w:t>实验技术参数明细</w:t>
            </w:r>
            <w:r>
              <w:rPr>
                <w:rFonts w:hint="eastAsia" w:ascii="宋体" w:hAnsi="宋体" w:cs="宋体"/>
                <w:b w:val="0"/>
                <w:bCs/>
                <w:szCs w:val="21"/>
                <w:lang w:eastAsia="zh-CN"/>
              </w:rPr>
              <w:t>：</w:t>
            </w:r>
          </w:p>
          <w:p w14:paraId="5D893AE3">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（1）蛋白还原烷基化、酶解、除盐</w:t>
            </w:r>
            <w:bookmarkStart w:id="1" w:name="_GoBack"/>
            <w:bookmarkEnd w:id="1"/>
            <w:r>
              <w:rPr>
                <w:rFonts w:hint="eastAsia" w:ascii="宋体" w:hAnsi="宋体" w:cs="宋体"/>
                <w:b w:val="0"/>
                <w:bCs/>
                <w:szCs w:val="21"/>
              </w:rPr>
              <w:t>等全流程前处理，并提供相应的提取质控报告（BCA定量和SDS-PAGE）。</w:t>
            </w:r>
          </w:p>
          <w:p w14:paraId="12E8699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（2）必须采用含非对称轨道无损质量分析器的纳升级液相-高分辨质谱进行LC-HR-DIA分析。</w:t>
            </w:r>
          </w:p>
          <w:p w14:paraId="025BF62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（3）有效液相梯度不应小于</w:t>
            </w:r>
            <w:r>
              <w:rPr>
                <w:rFonts w:hint="eastAsia" w:ascii="宋体" w:hAnsi="宋体" w:cs="宋体"/>
                <w:b w:val="0"/>
                <w:bCs/>
                <w:szCs w:val="21"/>
                <w:lang w:val="en-US" w:eastAsia="zh-CN"/>
              </w:rPr>
              <w:t>16</w:t>
            </w:r>
            <w:r>
              <w:rPr>
                <w:rFonts w:hint="eastAsia" w:ascii="宋体" w:hAnsi="宋体" w:cs="宋体"/>
                <w:b w:val="0"/>
                <w:bCs/>
                <w:szCs w:val="21"/>
              </w:rPr>
              <w:t>分钟。</w:t>
            </w:r>
          </w:p>
          <w:p w14:paraId="169CC3E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（4）需在实验样本间穿插blank和QC质控样本，保证无交叉污染以及定量稳定性。</w:t>
            </w:r>
          </w:p>
          <w:p w14:paraId="4BFAB61E">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（5）如采用建库方式DIA，需对将质控样本液相馏分后进行DDA建库（建库原则上不少于6个馏分）。如采用非建库方式DIA（directDIA），数据分析需蛋白序列库比对，完成多肽-蛋白序列组装。</w:t>
            </w:r>
          </w:p>
          <w:p w14:paraId="0E3CB3BE">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（6）需完成样本间相对定量分析，提供差异蛋白分析（|FC|≥1.5且p.adj&lt;0.05）、功能富集（GO/KEGG）及互作网络。</w:t>
            </w:r>
          </w:p>
          <w:p w14:paraId="73253C4A">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（7）理论上可供定量蛋白数量：体液类样本&gt;1500 ID, 细胞与组织类样本&gt;4500 ID, 细菌样本&gt;2000 ID。</w:t>
            </w:r>
          </w:p>
          <w:p w14:paraId="2DE9F872">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p>
          <w:p w14:paraId="155FCC4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lang w:val="en-US" w:eastAsia="zh-CN"/>
              </w:rPr>
              <w:t>数据交付技术指标</w:t>
            </w:r>
            <w:r>
              <w:rPr>
                <w:rFonts w:hint="eastAsia" w:ascii="宋体" w:hAnsi="宋体" w:cs="宋体"/>
                <w:b w:val="0"/>
                <w:bCs/>
                <w:szCs w:val="21"/>
              </w:rPr>
              <w:t>：</w:t>
            </w:r>
          </w:p>
          <w:p w14:paraId="68E107E0">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lang w:val="en-US" w:eastAsia="zh-CN"/>
              </w:rPr>
              <w:t>（1）</w:t>
            </w:r>
            <w:r>
              <w:rPr>
                <w:rFonts w:hint="eastAsia" w:ascii="宋体" w:hAnsi="宋体" w:cs="宋体"/>
                <w:b w:val="0"/>
                <w:bCs/>
                <w:szCs w:val="21"/>
              </w:rPr>
              <w:t>提供下机后的原始质谱数据。</w:t>
            </w:r>
          </w:p>
          <w:p w14:paraId="56B97AC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（2）提供关于实验条件，仪器类型，实验过程及数据处理过程在内的完整实验报告。</w:t>
            </w:r>
          </w:p>
          <w:p w14:paraId="2AF78993">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lang w:eastAsia="zh-CN"/>
              </w:rPr>
              <w:t>（</w:t>
            </w:r>
            <w:r>
              <w:rPr>
                <w:rFonts w:hint="eastAsia" w:ascii="宋体" w:hAnsi="宋体" w:cs="宋体"/>
                <w:b w:val="0"/>
                <w:bCs/>
                <w:szCs w:val="21"/>
                <w:lang w:val="en-US" w:eastAsia="zh-CN"/>
              </w:rPr>
              <w:t>3</w:t>
            </w:r>
            <w:r>
              <w:rPr>
                <w:rFonts w:hint="eastAsia" w:ascii="宋体" w:hAnsi="宋体" w:cs="宋体"/>
                <w:b w:val="0"/>
                <w:bCs/>
                <w:szCs w:val="21"/>
                <w:lang w:eastAsia="zh-CN"/>
              </w:rPr>
              <w:t>）</w:t>
            </w:r>
            <w:r>
              <w:rPr>
                <w:rFonts w:hint="eastAsia" w:ascii="宋体" w:hAnsi="宋体" w:cs="宋体"/>
                <w:b w:val="0"/>
                <w:bCs/>
                <w:szCs w:val="21"/>
              </w:rPr>
              <w:t>提供LC-IMS-MS总离子流图。</w:t>
            </w:r>
          </w:p>
          <w:p w14:paraId="18939C3E">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lang w:eastAsia="zh-CN"/>
              </w:rPr>
              <w:t>（</w:t>
            </w:r>
            <w:r>
              <w:rPr>
                <w:rFonts w:hint="eastAsia" w:ascii="宋体" w:hAnsi="宋体" w:cs="宋体"/>
                <w:b w:val="0"/>
                <w:bCs/>
                <w:szCs w:val="21"/>
                <w:lang w:val="en-US" w:eastAsia="zh-CN"/>
              </w:rPr>
              <w:t>4</w:t>
            </w:r>
            <w:r>
              <w:rPr>
                <w:rFonts w:hint="eastAsia" w:ascii="宋体" w:hAnsi="宋体" w:cs="宋体"/>
                <w:b w:val="0"/>
                <w:bCs/>
                <w:szCs w:val="21"/>
                <w:lang w:eastAsia="zh-CN"/>
              </w:rPr>
              <w:t>）</w:t>
            </w:r>
            <w:r>
              <w:rPr>
                <w:rFonts w:hint="eastAsia" w:ascii="宋体" w:hAnsi="宋体" w:cs="宋体"/>
                <w:b w:val="0"/>
                <w:bCs/>
                <w:szCs w:val="21"/>
              </w:rPr>
              <w:t>提供含所有样本的所有蛋白定性定量表格。</w:t>
            </w:r>
          </w:p>
          <w:p w14:paraId="618D8296">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lang w:eastAsia="zh-CN"/>
              </w:rPr>
              <w:t>（</w:t>
            </w:r>
            <w:r>
              <w:rPr>
                <w:rFonts w:hint="eastAsia" w:ascii="宋体" w:hAnsi="宋体" w:cs="宋体"/>
                <w:b w:val="0"/>
                <w:bCs/>
                <w:szCs w:val="21"/>
                <w:lang w:val="en-US" w:eastAsia="zh-CN"/>
              </w:rPr>
              <w:t>5</w:t>
            </w:r>
            <w:r>
              <w:rPr>
                <w:rFonts w:hint="eastAsia" w:ascii="宋体" w:hAnsi="宋体" w:cs="宋体"/>
                <w:b w:val="0"/>
                <w:bCs/>
                <w:szCs w:val="21"/>
                <w:lang w:eastAsia="zh-CN"/>
              </w:rPr>
              <w:t>）</w:t>
            </w:r>
            <w:r>
              <w:rPr>
                <w:rFonts w:hint="eastAsia" w:ascii="宋体" w:hAnsi="宋体" w:cs="宋体"/>
                <w:b w:val="0"/>
                <w:bCs/>
                <w:szCs w:val="21"/>
              </w:rPr>
              <w:t>提供非监督式降维分析（PCA等），监督式降维分析（PLS-DA等），热图和聚类分析（K-mean等）常见组学分析，提供差异蛋白列表与筛选标准，提供信号或代谢通路分析结果，提供GO分析结果。</w:t>
            </w:r>
          </w:p>
        </w:tc>
        <w:tc>
          <w:tcPr>
            <w:tcW w:w="644" w:type="pct"/>
            <w:vAlign w:val="center"/>
          </w:tcPr>
          <w:p w14:paraId="311FF6FE">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预计</w:t>
            </w:r>
            <w:r>
              <w:rPr>
                <w:rFonts w:hint="eastAsia" w:ascii="宋体" w:hAnsi="宋体" w:cs="宋体"/>
                <w:b w:val="0"/>
                <w:bCs/>
                <w:szCs w:val="21"/>
                <w:lang w:val="en-US" w:eastAsia="zh-CN"/>
              </w:rPr>
              <w:t>60</w:t>
            </w:r>
            <w:r>
              <w:rPr>
                <w:rFonts w:hint="eastAsia" w:ascii="宋体" w:hAnsi="宋体" w:cs="宋体"/>
                <w:b w:val="0"/>
                <w:bCs/>
                <w:szCs w:val="21"/>
              </w:rPr>
              <w:t>例样本，以实际为准。</w:t>
            </w:r>
          </w:p>
        </w:tc>
      </w:tr>
      <w:tr w14:paraId="5714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84" w:type="pct"/>
            <w:vAlign w:val="center"/>
          </w:tcPr>
          <w:p w14:paraId="20399D53">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bCs w:val="0"/>
                <w:szCs w:val="21"/>
              </w:rPr>
              <w:t>Olink蛋白质组学测序</w:t>
            </w:r>
          </w:p>
        </w:tc>
        <w:tc>
          <w:tcPr>
            <w:tcW w:w="3471" w:type="pct"/>
            <w:vAlign w:val="center"/>
          </w:tcPr>
          <w:p w14:paraId="557BEC4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bCs w:val="0"/>
                <w:szCs w:val="21"/>
              </w:rPr>
              <w:t>详细技术要求</w:t>
            </w:r>
          </w:p>
          <w:p w14:paraId="7F5AC21B">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交付标准：</w:t>
            </w:r>
          </w:p>
          <w:p w14:paraId="232292EF">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（1）下机数据中匹配到每个样本的平均count数≥500；</w:t>
            </w:r>
          </w:p>
          <w:p w14:paraId="560E55E7">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（2）每个样本的incubation control和amplification control与板中值的偏差＜0.3 NPX；</w:t>
            </w:r>
          </w:p>
          <w:p w14:paraId="14CD149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（3）Negative control的板中值和一个设定值的偏差≤5个标准偏差；</w:t>
            </w:r>
          </w:p>
          <w:p w14:paraId="132B270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p>
          <w:p w14:paraId="3E8D82B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数据分析要求包括：</w:t>
            </w:r>
          </w:p>
          <w:p w14:paraId="39BC41F1">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（1）Olink原始数据NPX表格</w:t>
            </w:r>
          </w:p>
          <w:p w14:paraId="79932E56">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（2）Olink桥接样本分析</w:t>
            </w:r>
          </w:p>
          <w:p w14:paraId="36DB101E">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（3）样本质控-QC样本分布分析</w:t>
            </w:r>
          </w:p>
          <w:p w14:paraId="0F57FC2F">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（4）样本质控-QC-IQR分析</w:t>
            </w:r>
          </w:p>
          <w:p w14:paraId="37A1C16C">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（5）热图聚类 all_heatmap分析</w:t>
            </w:r>
          </w:p>
          <w:p w14:paraId="0E6FE4C6">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（6）PCA聚类分析 all_pca</w:t>
            </w:r>
          </w:p>
          <w:p w14:paraId="27177668">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（7）TSNE聚类分析 all_tsne</w:t>
            </w:r>
          </w:p>
          <w:p w14:paraId="0E74274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（8）蛋白功能注释和表达谱总表  anno_profile</w:t>
            </w:r>
          </w:p>
          <w:p w14:paraId="6E8C3B1C">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（9）相关性分析  cor_heatmap</w:t>
            </w:r>
          </w:p>
          <w:p w14:paraId="6C612792">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（10）两组间差异分析 Venn</w:t>
            </w:r>
          </w:p>
          <w:p w14:paraId="0206933C">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（11）两组间差异分析 COND1_diff_regulation</w:t>
            </w:r>
          </w:p>
          <w:p w14:paraId="729BD58F">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（12）两组间差异分析 diff_expression</w:t>
            </w:r>
          </w:p>
          <w:p w14:paraId="1F88C5B7">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（13）两组间差异分析 AUC分析  auc_value</w:t>
            </w:r>
          </w:p>
          <w:p w14:paraId="1B9E865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（14）两组间差异分析 heatmap</w:t>
            </w:r>
          </w:p>
          <w:p w14:paraId="03C1861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（15）两组间差异分析 mean_heatmap</w:t>
            </w:r>
          </w:p>
          <w:p w14:paraId="4DE55BE1">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（16）两组间差异分析  volcano</w:t>
            </w:r>
          </w:p>
          <w:p w14:paraId="22BFDB87">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（17）两组间差异分析 ROC_top5</w:t>
            </w:r>
          </w:p>
          <w:p w14:paraId="53BE6C8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（18）两组间差异分析 ROC_logistic</w:t>
            </w:r>
          </w:p>
          <w:p w14:paraId="3899E57F">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（19）两组间差异分析 Top_boxplot</w:t>
            </w:r>
          </w:p>
          <w:p w14:paraId="78FA3E85">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（20）两组间差异分析 All_Significant_Pro boxplot</w:t>
            </w:r>
          </w:p>
          <w:p w14:paraId="5F5F90DC">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（21）两组间差异分析 随机森林 randomforest_MeanDecreaseGini</w:t>
            </w:r>
          </w:p>
          <w:p w14:paraId="4890B95B">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（22）两组间差异分析 随机森林 andomforest_MeanDecreaseAccuracy</w:t>
            </w:r>
          </w:p>
          <w:p w14:paraId="7963E265">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（23）两组间差异分析 蛋白互作PPI分析</w:t>
            </w:r>
          </w:p>
          <w:p w14:paraId="09E4E361">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（24）差异蛋白DO富集分析</w:t>
            </w:r>
          </w:p>
          <w:p w14:paraId="5B32C69B">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（25）差异蛋白GO富集分析</w:t>
            </w:r>
          </w:p>
          <w:p w14:paraId="46524E9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（26）差异蛋白KEGG富集分析</w:t>
            </w:r>
          </w:p>
          <w:p w14:paraId="56BD4C2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（27）差异蛋白InterPro富集分析</w:t>
            </w:r>
          </w:p>
          <w:p w14:paraId="10C69FB6">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（28）差异蛋白REACTOME富集分析</w:t>
            </w:r>
          </w:p>
          <w:p w14:paraId="55BFABC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（29）差异蛋白相关性分析 cor_protein_heatmap</w:t>
            </w:r>
          </w:p>
          <w:p w14:paraId="414A803F">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（30）差异蛋白相关性分析 p_heatmap</w:t>
            </w:r>
          </w:p>
          <w:p w14:paraId="2F91776A">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（31）差异蛋白相关性分析 max_pro_point</w:t>
            </w:r>
          </w:p>
          <w:p w14:paraId="1B3E9FB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（32）差异蛋白相关性分析 min_pro_point</w:t>
            </w:r>
          </w:p>
          <w:p w14:paraId="25AF7A8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lang w:val="en-US" w:eastAsia="zh-CN"/>
              </w:rPr>
            </w:pPr>
            <w:r>
              <w:rPr>
                <w:rFonts w:hint="eastAsia" w:ascii="宋体" w:hAnsi="宋体" w:cs="宋体"/>
                <w:b w:val="0"/>
                <w:bCs/>
                <w:szCs w:val="21"/>
                <w:lang w:val="en-US" w:eastAsia="zh-CN"/>
              </w:rPr>
              <w:t>（33）多组比较 趋势分析  Trend_analysis</w:t>
            </w:r>
          </w:p>
          <w:p w14:paraId="4744CCE9">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p>
        </w:tc>
        <w:tc>
          <w:tcPr>
            <w:tcW w:w="644" w:type="pct"/>
            <w:vAlign w:val="center"/>
          </w:tcPr>
          <w:p w14:paraId="2B738BFD">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r>
              <w:rPr>
                <w:rFonts w:hint="eastAsia" w:ascii="宋体" w:hAnsi="宋体" w:cs="宋体"/>
                <w:b w:val="0"/>
                <w:bCs/>
                <w:szCs w:val="21"/>
              </w:rPr>
              <w:t>预计</w:t>
            </w:r>
            <w:r>
              <w:rPr>
                <w:rFonts w:hint="eastAsia" w:ascii="宋体" w:hAnsi="宋体" w:cs="宋体"/>
                <w:b w:val="0"/>
                <w:bCs/>
                <w:szCs w:val="21"/>
                <w:lang w:val="en-US" w:eastAsia="zh-CN"/>
              </w:rPr>
              <w:t>60</w:t>
            </w:r>
            <w:r>
              <w:rPr>
                <w:rFonts w:hint="eastAsia" w:ascii="宋体" w:hAnsi="宋体" w:cs="宋体"/>
                <w:b w:val="0"/>
                <w:bCs/>
                <w:szCs w:val="21"/>
              </w:rPr>
              <w:t>例样本，以实际为准。</w:t>
            </w:r>
          </w:p>
        </w:tc>
      </w:tr>
    </w:tbl>
    <w:p w14:paraId="1B695354">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p>
    <w:p w14:paraId="107014C1">
      <w:pPr>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cs="宋体"/>
          <w:b w:val="0"/>
          <w:bCs/>
          <w:szCs w:val="21"/>
        </w:rPr>
      </w:pPr>
    </w:p>
    <w:p w14:paraId="401AB8C2">
      <w:pPr>
        <w:rPr>
          <w:rFonts w:hint="eastAsia" w:ascii="宋体" w:hAnsi="宋体" w:eastAsia="宋体" w:cs="宋体"/>
          <w:b/>
          <w:bCs w:val="0"/>
          <w:color w:val="auto"/>
          <w:kern w:val="2"/>
          <w:sz w:val="28"/>
          <w:szCs w:val="2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1NGEyYWMxYzkzMzRjY2U2ODU1M2E5MTEwZDJiZjkifQ=="/>
  </w:docVars>
  <w:rsids>
    <w:rsidRoot w:val="00066F7E"/>
    <w:rsid w:val="00066F7E"/>
    <w:rsid w:val="00C024A2"/>
    <w:rsid w:val="00C55A4B"/>
    <w:rsid w:val="03BE706D"/>
    <w:rsid w:val="11B67082"/>
    <w:rsid w:val="236425D7"/>
    <w:rsid w:val="2744073D"/>
    <w:rsid w:val="2A331887"/>
    <w:rsid w:val="3BBC2000"/>
    <w:rsid w:val="41EC6FB9"/>
    <w:rsid w:val="63D538F9"/>
    <w:rsid w:val="68A7047A"/>
    <w:rsid w:val="74FD6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Arial" w:hAnsi="Arial" w:eastAsia="华文中宋"/>
      <w:b/>
      <w:color w:val="000000"/>
      <w:sz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w:basedOn w:val="1"/>
    <w:next w:val="4"/>
    <w:qFormat/>
    <w:uiPriority w:val="0"/>
    <w:pPr>
      <w:adjustRightInd w:val="0"/>
      <w:spacing w:line="315" w:lineRule="atLeast"/>
      <w:jc w:val="left"/>
      <w:textAlignment w:val="baseline"/>
    </w:pPr>
    <w:rPr>
      <w:rFonts w:ascii="仿宋_GB2312" w:eastAsia="仿宋_GB2312"/>
      <w:kern w:val="0"/>
      <w:sz w:val="28"/>
      <w:szCs w:val="20"/>
    </w:rPr>
  </w:style>
  <w:style w:type="paragraph" w:styleId="4">
    <w:name w:val="Body Text First Indent"/>
    <w:basedOn w:val="3"/>
    <w:next w:val="5"/>
    <w:qFormat/>
    <w:uiPriority w:val="0"/>
    <w:pPr>
      <w:adjustRightInd/>
      <w:spacing w:after="120" w:line="240" w:lineRule="auto"/>
      <w:ind w:firstLine="420" w:firstLineChars="100"/>
      <w:jc w:val="both"/>
      <w:textAlignment w:val="auto"/>
    </w:pPr>
    <w:rPr>
      <w:rFonts w:ascii="Times New Roman" w:eastAsia="宋体"/>
      <w:kern w:val="2"/>
      <w:sz w:val="21"/>
    </w:rPr>
  </w:style>
  <w:style w:type="paragraph" w:styleId="5">
    <w:name w:val="toc 6"/>
    <w:basedOn w:val="1"/>
    <w:next w:val="1"/>
    <w:qFormat/>
    <w:uiPriority w:val="0"/>
    <w:pPr>
      <w:ind w:left="1050"/>
      <w:jc w:val="left"/>
    </w:pPr>
    <w:rPr>
      <w:sz w:val="18"/>
      <w:szCs w:val="18"/>
    </w:rPr>
  </w:style>
  <w:style w:type="paragraph" w:customStyle="1" w:styleId="8">
    <w:name w:val="列出段落1"/>
    <w:basedOn w:val="1"/>
    <w:uiPriority w:val="0"/>
    <w:pPr>
      <w:ind w:firstLine="420" w:firstLineChars="200"/>
    </w:pPr>
  </w:style>
  <w:style w:type="paragraph" w:customStyle="1" w:styleId="9">
    <w:name w:val="列表段落1"/>
    <w:basedOn w:val="1"/>
    <w:qFormat/>
    <w:uiPriority w:val="0"/>
    <w:pPr>
      <w:ind w:firstLine="420" w:firstLineChars="200"/>
    </w:pPr>
    <w:rPr>
      <w:rFonts w:eastAsia="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1244</Words>
  <Characters>1811</Characters>
  <Lines>20</Lines>
  <Paragraphs>5</Paragraphs>
  <TotalTime>0</TotalTime>
  <ScaleCrop>false</ScaleCrop>
  <LinksUpToDate>false</LinksUpToDate>
  <CharactersWithSpaces>1858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2021-10-21T08:30:00Z</dcterms:created>
  <dc:creator>sdd97</dc:creator>
  <cp:lastModifiedBy>hp</cp:lastModifiedBy>
  <dcterms:modified xsi:type="dcterms:W3CDTF">2025-10-15T06:42:36Z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B4DC50E8930E49C3934F4C5B89117799</vt:lpwstr>
  </property>
  <property fmtid="{D5CDD505-2E9C-101B-9397-08002B2CF9AE}" pid="4" name="KSOTemplateDocerSaveRecord">
    <vt:lpwstr>eyJoZGlkIjoiMTYzNmFlZDUxMjgwNjRiNjI2NTJkM2FiOGFiMDYyNDEiLCJ1c2VySWQiOiIyMTY0NTcxNjEifQ==</vt:lpwstr>
  </property>
</Properties>
</file>