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09A0BE">
      <w:pPr>
        <w:jc w:val="center"/>
        <w:rPr>
          <w:rFonts w:hint="eastAsia" w:ascii="宋体" w:hAnsi="宋体" w:eastAsia="宋体" w:cs="宋体"/>
          <w:b/>
          <w:bCs/>
          <w:color w:val="auto"/>
          <w:sz w:val="28"/>
          <w:szCs w:val="28"/>
        </w:rPr>
      </w:pPr>
      <w:bookmarkStart w:id="0" w:name="_Toc495317669"/>
      <w:r>
        <w:rPr>
          <w:rFonts w:hint="eastAsia" w:ascii="宋体" w:hAnsi="宋体" w:eastAsia="宋体" w:cs="宋体"/>
          <w:b/>
          <w:bCs/>
          <w:color w:val="auto"/>
          <w:sz w:val="28"/>
          <w:szCs w:val="28"/>
        </w:rPr>
        <w:t>初步采购内容及需求</w:t>
      </w:r>
      <w:bookmarkEnd w:id="0"/>
    </w:p>
    <w:p w14:paraId="6AD458C4">
      <w:pP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一、检测项目：单细胞转录组及免疫组测序服务</w:t>
      </w:r>
    </w:p>
    <w:p w14:paraId="13E8EBFE">
      <w:pP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二、技术要求：</w:t>
      </w:r>
    </w:p>
    <w:p w14:paraId="5A5FD254">
      <w:pP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1. 10×单细胞转录组及免疫组(mRNA+TCR+BCR)：制备合适浓度的单细胞悬液。通过流式细胞分选出目的细胞群，根据目标细胞数进行相应的上样，上样后，观察包裹Gel beads、样品以及酶的混合物的油滴（GEMs）是否能够正常形成，将GEMs吸出转移到PCR管中进行反转录及文库构建。库检合格后，上机测序，采用Illumina Hiseq PE150或NovaSeq PE150测序策略。针对下机数据进行质量评估，然后使用10X官方分析软件Cell Ranger进行数据比对和细胞/UMI计数，生成细胞-基因表达矩阵。</w:t>
      </w:r>
    </w:p>
    <w:p w14:paraId="495985AE">
      <w:pP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三、具体参数要求：</w:t>
      </w:r>
    </w:p>
    <w:tbl>
      <w:tblPr>
        <w:tblStyle w:val="6"/>
        <w:tblW w:w="487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1"/>
        <w:gridCol w:w="5262"/>
        <w:gridCol w:w="1321"/>
      </w:tblGrid>
      <w:tr w14:paraId="371716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  <w:jc w:val="center"/>
        </w:trPr>
        <w:tc>
          <w:tcPr>
            <w:tcW w:w="1721" w:type="dxa"/>
            <w:shd w:val="clear" w:color="000000" w:fill="FFFFFF" w:themeFill="background1"/>
            <w:vAlign w:val="center"/>
          </w:tcPr>
          <w:p w14:paraId="3DF8E05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项目名称</w:t>
            </w:r>
          </w:p>
        </w:tc>
        <w:tc>
          <w:tcPr>
            <w:tcW w:w="5262" w:type="dxa"/>
            <w:shd w:val="clear" w:color="000000" w:fill="FFFFFF" w:themeFill="background1"/>
            <w:vAlign w:val="center"/>
          </w:tcPr>
          <w:p w14:paraId="752E38A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具体技术（参数）要求</w:t>
            </w:r>
          </w:p>
        </w:tc>
        <w:tc>
          <w:tcPr>
            <w:tcW w:w="1321" w:type="dxa"/>
            <w:shd w:val="clear" w:color="000000" w:fill="FFFFFF" w:themeFill="background1"/>
            <w:vAlign w:val="center"/>
          </w:tcPr>
          <w:p w14:paraId="4E8F36A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采购量（年）</w:t>
            </w:r>
          </w:p>
        </w:tc>
      </w:tr>
      <w:tr w14:paraId="1F0849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1721" w:type="dxa"/>
            <w:vAlign w:val="center"/>
          </w:tcPr>
          <w:p w14:paraId="55072EFF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单细胞转录组及免疫组测序服务</w:t>
            </w:r>
          </w:p>
        </w:tc>
        <w:tc>
          <w:tcPr>
            <w:tcW w:w="5262" w:type="dxa"/>
            <w:vAlign w:val="center"/>
          </w:tcPr>
          <w:p w14:paraId="09655DB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详细技术要求</w:t>
            </w:r>
          </w:p>
          <w:p w14:paraId="4B8928E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★（一）细胞悬液要求、平台要求、测序需求和数据质控要求及验收标准：</w:t>
            </w:r>
          </w:p>
          <w:p w14:paraId="63F4C45A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1、细胞悬液要求：细胞活性≥85%，细胞浓度为700-1200 cells/μl，结团率≤10%，有核率≥70%。</w:t>
            </w:r>
          </w:p>
          <w:p w14:paraId="6B94888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2、平台要求：支持利用荧光计数法和台盼蓝染色法两种方式同时进行细胞计数；要求利用10x Genomics平台及官方配套试剂完成样本捕获并构建文库。</w:t>
            </w:r>
          </w:p>
          <w:p w14:paraId="048FA46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3、测序需求：要求使用illunian平台进行PE150测序；测序质量要求：文库质检合格后，每个转录组文库测序数据量≥100G，TCR文库测序数据量≥10G，BCR文库测序数据量≥10G；测序Q30≥85%，无GC分离；测序饱和度≥80%，否则加测数据量直至80%为止。</w:t>
            </w:r>
          </w:p>
          <w:p w14:paraId="329CD8C8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4、数据质控要求：捕获细胞数量预设至少7000个，最终结果波动范围须在15%之内；基因中位数≥1000，测序饱和度≥80%,若细胞捕获数量超出规定的波动范围，即5250至8050之间个，则要求对样本重做，费用包含在本项目报价内。</w:t>
            </w:r>
          </w:p>
          <w:p w14:paraId="55E7BFEE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5、数据验收标准：交付所有测序原始数据以及clean data记录报告及结果；要求达到以下分析内容：对数据进行标准分析、高级分析和定制化分析：数据质控、数据统计、单样本 t-SNE 分型、marker 基因展示、转录因子注释、蛋白互作网络、样本间相关性分析、多样本 t-SNE 分型分析、多样本拟时分析、marker 基因聚类分析、基因共表达分析热图、差异基因分析及差异基因通路富集分析，KEGG、GO、GSEA，并包含线粒体基因过滤、死细胞和多细胞过滤、批次效应去除等质量控制手段；样本间基因差异分析；目标细胞群体亚聚类；细胞互作；基因互作；开发神经对抗网络分析；鉴定稀有细胞亚群，加强细胞注释准确度；免疫细胞Clonotype分型，CDR3（TRA\TRB\V基因\J基因）丰度分析。</w:t>
            </w:r>
          </w:p>
          <w:p w14:paraId="5EF0761C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▲（二）其他要求：</w:t>
            </w:r>
          </w:p>
          <w:p w14:paraId="54D6C521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1、具备相应10× Genomics仪器试剂及技术人员；</w:t>
            </w:r>
          </w:p>
          <w:p w14:paraId="13B2CC56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2、配备专门的10× Genomics技术团队负责，在各个分析节点与采购人及时沟通，做到24h反馈机制，定期反馈项目进展；可以通过即时沟通的方式做到及时反馈；</w:t>
            </w:r>
          </w:p>
          <w:p w14:paraId="25515DE3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3、数据保留时间：原始测序数据、分析结果等数据至少可保留1年。</w:t>
            </w:r>
          </w:p>
          <w:p w14:paraId="7D1556F9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（三）采购人负责本项目合格样本及信息采集，授权中标人使用采购人提供的样本及样本信息用于本研究项目。</w:t>
            </w:r>
          </w:p>
        </w:tc>
        <w:tc>
          <w:tcPr>
            <w:tcW w:w="1321" w:type="dxa"/>
            <w:vAlign w:val="center"/>
          </w:tcPr>
          <w:p w14:paraId="34865745">
            <w:pP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预计50例样本，以实际为准。</w:t>
            </w:r>
          </w:p>
        </w:tc>
      </w:tr>
    </w:tbl>
    <w:p w14:paraId="7B40202D">
      <w:pP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</w:p>
    <w:p w14:paraId="525F43C0">
      <w:pP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四、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  <w:t>服务期限</w:t>
      </w:r>
    </w:p>
    <w:p w14:paraId="2BB6F0BF">
      <w:pPr>
        <w:ind w:firstLine="420" w:firstLineChars="200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  <w:bookmarkStart w:id="1" w:name="_GoBack"/>
      <w:bookmarkEnd w:id="1"/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  <w:t>自合同生效日起1年。期限内项目未完全结题的，有效期可以顺延至项目全部结题。</w:t>
      </w:r>
    </w:p>
    <w:p w14:paraId="001B5B30">
      <w:pP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</w:p>
    <w:p w14:paraId="3C051EE9">
      <w:pP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</w:p>
    <w:p w14:paraId="3A19F830">
      <w:pP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</w:p>
    <w:p w14:paraId="47027E0F">
      <w:pP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1NGEyYWMxYzkzMzRjY2U2ODU1M2E5MTEwZDJiZjkifQ=="/>
  </w:docVars>
  <w:rsids>
    <w:rsidRoot w:val="00066F7E"/>
    <w:rsid w:val="00066F7E"/>
    <w:rsid w:val="00C024A2"/>
    <w:rsid w:val="00C55A4B"/>
    <w:rsid w:val="03BE706D"/>
    <w:rsid w:val="236425D7"/>
    <w:rsid w:val="2744073D"/>
    <w:rsid w:val="2A331887"/>
    <w:rsid w:val="41EC6FB9"/>
    <w:rsid w:val="63D538F9"/>
    <w:rsid w:val="68A7047A"/>
    <w:rsid w:val="74FD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spacing w:line="360" w:lineRule="auto"/>
      <w:jc w:val="center"/>
      <w:outlineLvl w:val="0"/>
    </w:pPr>
    <w:rPr>
      <w:rFonts w:ascii="Arial" w:hAnsi="Arial" w:eastAsia="华文中宋"/>
      <w:b/>
      <w:color w:val="000000"/>
      <w:sz w:val="32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pPr>
      <w:adjustRightInd w:val="0"/>
      <w:spacing w:line="315" w:lineRule="atLeast"/>
      <w:jc w:val="left"/>
      <w:textAlignment w:val="baseline"/>
    </w:pPr>
    <w:rPr>
      <w:rFonts w:ascii="仿宋_GB2312" w:eastAsia="仿宋_GB2312"/>
      <w:kern w:val="0"/>
      <w:sz w:val="28"/>
      <w:szCs w:val="20"/>
    </w:rPr>
  </w:style>
  <w:style w:type="paragraph" w:styleId="4">
    <w:name w:val="Body Text First Indent"/>
    <w:basedOn w:val="3"/>
    <w:next w:val="5"/>
    <w:qFormat/>
    <w:uiPriority w:val="0"/>
    <w:pPr>
      <w:adjustRightInd/>
      <w:spacing w:after="120" w:line="240" w:lineRule="auto"/>
      <w:ind w:firstLine="420" w:firstLineChars="100"/>
      <w:jc w:val="both"/>
      <w:textAlignment w:val="auto"/>
    </w:pPr>
    <w:rPr>
      <w:rFonts w:ascii="Times New Roman" w:eastAsia="宋体"/>
      <w:kern w:val="2"/>
      <w:sz w:val="21"/>
    </w:rPr>
  </w:style>
  <w:style w:type="paragraph" w:styleId="5">
    <w:name w:val="toc 6"/>
    <w:basedOn w:val="1"/>
    <w:next w:val="1"/>
    <w:qFormat/>
    <w:uiPriority w:val="0"/>
    <w:pPr>
      <w:ind w:left="1050"/>
      <w:jc w:val="left"/>
    </w:pPr>
    <w:rPr>
      <w:sz w:val="18"/>
      <w:szCs w:val="18"/>
    </w:rPr>
  </w:style>
  <w:style w:type="paragraph" w:customStyle="1" w:styleId="8">
    <w:name w:val="列出段落1"/>
    <w:basedOn w:val="1"/>
    <w:uiPriority w:val="0"/>
    <w:pPr>
      <w:ind w:firstLine="420" w:firstLineChars="200"/>
    </w:pPr>
  </w:style>
  <w:style w:type="paragraph" w:customStyle="1" w:styleId="9">
    <w:name w:val="列表段落1"/>
    <w:basedOn w:val="1"/>
    <w:qFormat/>
    <w:uiPriority w:val="0"/>
    <w:pPr>
      <w:ind w:firstLine="420" w:firstLineChars="200"/>
    </w:pPr>
    <w:rPr>
      <w:rFonts w:eastAsia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1461</Words>
  <Characters>1731</Characters>
  <Lines>20</Lines>
  <Paragraphs>5</Paragraphs>
  <TotalTime>0</TotalTime>
  <ScaleCrop>false</ScaleCrop>
  <LinksUpToDate>false</LinksUpToDate>
  <CharactersWithSpaces>1743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2021-10-21T08:30:00Z</dcterms:created>
  <dc:creator>sdd97</dc:creator>
  <cp:lastModifiedBy>hp</cp:lastModifiedBy>
  <dcterms:modified xsi:type="dcterms:W3CDTF">2025-10-08T08:58:18Z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B4DC50E8930E49C3934F4C5B89117799</vt:lpwstr>
  </property>
  <property fmtid="{D5CDD505-2E9C-101B-9397-08002B2CF9AE}" pid="4" name="KSOTemplateDocerSaveRecord">
    <vt:lpwstr>eyJoZGlkIjoiMTYzNmFlZDUxMjgwNjRiNjI2NTJkM2FiOGFiMDYyNDEiLCJ1c2VySWQiOiIyMTY0NTcxNjEifQ==</vt:lpwstr>
  </property>
</Properties>
</file>