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pPr w:leftFromText="180" w:rightFromText="180" w:vertAnchor="text" w:horzAnchor="page" w:tblpX="437" w:tblpY="139"/>
        <w:tblOverlap w:val="never"/>
        <w:tblW w:w="65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
        <w:gridCol w:w="1765"/>
        <w:gridCol w:w="8376"/>
      </w:tblGrid>
      <w:tr w14:paraId="7346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5000" w:type="pct"/>
            <w:gridSpan w:val="3"/>
          </w:tcPr>
          <w:p w14:paraId="286D3A1C">
            <w:pPr>
              <w:ind w:right="-932" w:rightChars="-444"/>
              <w:jc w:val="center"/>
              <w:rPr>
                <w:rFonts w:hint="default" w:asciiTheme="majorEastAsia" w:hAnsiTheme="majorEastAsia" w:eastAsiaTheme="minorEastAsia"/>
                <w:b/>
                <w:bCs w:val="0"/>
                <w:sz w:val="24"/>
                <w:szCs w:val="24"/>
                <w:vertAlign w:val="baseline"/>
                <w:lang w:val="en-US" w:eastAsia="zh-CN"/>
              </w:rPr>
            </w:pPr>
            <w:r>
              <w:rPr>
                <w:rFonts w:hint="eastAsia" w:ascii="宋体" w:hAnsi="宋体"/>
                <w:b/>
                <w:color w:val="000000"/>
                <w:sz w:val="32"/>
                <w:szCs w:val="32"/>
              </w:rPr>
              <w:t>浙江大学附属儿童医院（医疗）设备</w:t>
            </w:r>
            <w:r>
              <w:rPr>
                <w:rFonts w:hint="eastAsia" w:ascii="宋体" w:hAnsi="宋体"/>
                <w:b/>
                <w:color w:val="000000"/>
                <w:sz w:val="32"/>
                <w:szCs w:val="32"/>
                <w:lang w:val="en-US" w:eastAsia="zh-CN"/>
              </w:rPr>
              <w:t>需求确认表（变更）</w:t>
            </w:r>
          </w:p>
        </w:tc>
      </w:tr>
      <w:tr w14:paraId="5FB0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51" w:type="pct"/>
            <w:gridSpan w:val="2"/>
          </w:tcPr>
          <w:p w14:paraId="097EEF5A">
            <w:pPr>
              <w:ind w:right="-340" w:rightChars="-162" w:firstLine="562" w:firstLineChars="200"/>
              <w:jc w:val="both"/>
              <w:rPr>
                <w:rFonts w:hint="eastAsia" w:asciiTheme="majorEastAsia" w:hAnsiTheme="majorEastAsia" w:eastAsiaTheme="majorEastAsia"/>
                <w:b/>
                <w:bCs w:val="0"/>
                <w:sz w:val="28"/>
                <w:szCs w:val="28"/>
                <w:vertAlign w:val="baseline"/>
                <w:lang w:val="en-US" w:eastAsia="zh-CN"/>
              </w:rPr>
            </w:pPr>
            <w:r>
              <w:rPr>
                <w:rFonts w:hint="eastAsia" w:asciiTheme="majorEastAsia" w:hAnsiTheme="majorEastAsia" w:eastAsiaTheme="majorEastAsia"/>
                <w:b/>
                <w:sz w:val="28"/>
                <w:szCs w:val="28"/>
                <w:lang w:val="en-US" w:eastAsia="zh-CN"/>
              </w:rPr>
              <w:t>项</w:t>
            </w:r>
            <w:r>
              <w:rPr>
                <w:rFonts w:hint="eastAsia" w:asciiTheme="majorEastAsia" w:hAnsiTheme="majorEastAsia" w:eastAsiaTheme="majorEastAsia"/>
                <w:b/>
                <w:sz w:val="28"/>
                <w:szCs w:val="28"/>
              </w:rPr>
              <w:t>目名称</w:t>
            </w:r>
          </w:p>
        </w:tc>
        <w:tc>
          <w:tcPr>
            <w:tcW w:w="3748" w:type="pct"/>
            <w:vAlign w:val="center"/>
          </w:tcPr>
          <w:p w14:paraId="25790697">
            <w:pPr>
              <w:tabs>
                <w:tab w:val="left" w:pos="3570"/>
              </w:tabs>
              <w:bidi w:val="0"/>
              <w:ind w:firstLine="3373" w:firstLineChars="1400"/>
              <w:jc w:val="both"/>
              <w:rPr>
                <w:rFonts w:hint="default" w:asciiTheme="minorHAnsi" w:hAnsiTheme="minorHAnsi" w:eastAsiaTheme="minorEastAsia" w:cstheme="minorBidi"/>
                <w:kern w:val="2"/>
                <w:sz w:val="21"/>
                <w:szCs w:val="22"/>
                <w:lang w:val="en-US" w:eastAsia="zh-CN" w:bidi="ar-SA"/>
              </w:rPr>
            </w:pPr>
            <w:r>
              <w:rPr>
                <w:rFonts w:hint="eastAsia" w:asciiTheme="majorEastAsia" w:hAnsiTheme="majorEastAsia" w:eastAsiaTheme="majorEastAsia"/>
                <w:b/>
                <w:bCs w:val="0"/>
                <w:sz w:val="24"/>
                <w:szCs w:val="24"/>
                <w:vertAlign w:val="baseline"/>
                <w:lang w:val="en-US" w:eastAsia="zh-CN"/>
              </w:rPr>
              <w:t>胸骨锯</w:t>
            </w:r>
          </w:p>
        </w:tc>
      </w:tr>
      <w:tr w14:paraId="4730B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51" w:type="pct"/>
            <w:gridSpan w:val="2"/>
          </w:tcPr>
          <w:p w14:paraId="20CCD9DC">
            <w:pPr>
              <w:tabs>
                <w:tab w:val="left" w:pos="874"/>
              </w:tabs>
              <w:ind w:right="-340" w:rightChars="-162" w:firstLine="562" w:firstLineChars="200"/>
              <w:jc w:val="left"/>
              <w:rPr>
                <w:rFonts w:hint="default" w:asciiTheme="majorEastAsia" w:hAnsiTheme="majorEastAsia" w:eastAsiaTheme="majorEastAsia"/>
                <w:b/>
                <w:bCs w:val="0"/>
                <w:sz w:val="28"/>
                <w:szCs w:val="28"/>
                <w:vertAlign w:val="baseline"/>
                <w:lang w:val="en-US" w:eastAsia="zh-CN"/>
              </w:rPr>
            </w:pPr>
            <w:r>
              <w:rPr>
                <w:rFonts w:hint="eastAsia" w:asciiTheme="majorEastAsia" w:hAnsiTheme="majorEastAsia" w:eastAsiaTheme="majorEastAsia"/>
                <w:b/>
                <w:bCs w:val="0"/>
                <w:sz w:val="28"/>
                <w:szCs w:val="28"/>
                <w:vertAlign w:val="baseline"/>
                <w:lang w:val="en-US" w:eastAsia="zh-CN"/>
              </w:rPr>
              <w:t>使用科室</w:t>
            </w:r>
          </w:p>
        </w:tc>
        <w:tc>
          <w:tcPr>
            <w:tcW w:w="3748" w:type="pct"/>
            <w:vAlign w:val="center"/>
          </w:tcPr>
          <w:p w14:paraId="258C7316">
            <w:pPr>
              <w:ind w:right="-340" w:rightChars="-162" w:firstLine="3373" w:firstLineChars="1400"/>
              <w:jc w:val="both"/>
              <w:rPr>
                <w:rFonts w:hint="default" w:asciiTheme="minorHAnsi" w:hAnsiTheme="minorHAnsi" w:eastAsiaTheme="minorEastAsia" w:cstheme="minorBidi"/>
                <w:kern w:val="2"/>
                <w:sz w:val="21"/>
                <w:szCs w:val="22"/>
                <w:lang w:val="en-US" w:eastAsia="zh-CN" w:bidi="ar-SA"/>
              </w:rPr>
            </w:pPr>
            <w:r>
              <w:rPr>
                <w:rFonts w:hint="eastAsia" w:asciiTheme="majorEastAsia" w:hAnsiTheme="majorEastAsia" w:eastAsiaTheme="majorEastAsia"/>
                <w:b/>
                <w:bCs w:val="0"/>
                <w:sz w:val="24"/>
                <w:szCs w:val="24"/>
                <w:vertAlign w:val="baseline"/>
                <w:lang w:val="en-US" w:eastAsia="zh-CN"/>
              </w:rPr>
              <w:t>手术室（滨江院区）</w:t>
            </w:r>
          </w:p>
        </w:tc>
      </w:tr>
      <w:tr w14:paraId="4F21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3A8E589D">
            <w:pPr>
              <w:ind w:right="-340" w:rightChars="-162" w:firstLine="241" w:firstLineChars="100"/>
              <w:jc w:val="left"/>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一</w:t>
            </w:r>
          </w:p>
        </w:tc>
        <w:tc>
          <w:tcPr>
            <w:tcW w:w="4538" w:type="pct"/>
            <w:gridSpan w:val="2"/>
          </w:tcPr>
          <w:p w14:paraId="77692B76">
            <w:pPr>
              <w:ind w:right="-340" w:rightChars="-162"/>
              <w:jc w:val="center"/>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基本要求</w:t>
            </w:r>
          </w:p>
        </w:tc>
      </w:tr>
      <w:tr w14:paraId="7A0D3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6D0B1674">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1.1</w:t>
            </w:r>
          </w:p>
        </w:tc>
        <w:tc>
          <w:tcPr>
            <w:tcW w:w="4538" w:type="pct"/>
            <w:gridSpan w:val="2"/>
          </w:tcPr>
          <w:p w14:paraId="4EE1190C">
            <w:pPr>
              <w:ind w:right="-340" w:rightChars="-162"/>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数量：3套</w:t>
            </w:r>
          </w:p>
        </w:tc>
      </w:tr>
      <w:tr w14:paraId="4BAC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19D3801B">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1.2</w:t>
            </w:r>
          </w:p>
        </w:tc>
        <w:tc>
          <w:tcPr>
            <w:tcW w:w="4538" w:type="pct"/>
            <w:gridSpan w:val="2"/>
          </w:tcPr>
          <w:p w14:paraId="560F2F85">
            <w:pPr>
              <w:ind w:right="-340" w:rightChars="-162"/>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用途：</w:t>
            </w:r>
            <w:r>
              <w:rPr>
                <w:rFonts w:hint="eastAsia" w:ascii="宋体" w:hAnsi="宋体" w:eastAsia="宋体" w:cs="宋体"/>
                <w:bCs/>
                <w:sz w:val="24"/>
                <w:szCs w:val="24"/>
                <w:lang w:val="en-US" w:eastAsia="zh-CN"/>
              </w:rPr>
              <w:t>用于开胸手术</w:t>
            </w:r>
          </w:p>
        </w:tc>
      </w:tr>
      <w:tr w14:paraId="10D5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tcPr>
          <w:p w14:paraId="325D3362">
            <w:pPr>
              <w:ind w:right="-340" w:rightChars="-162" w:firstLine="241" w:firstLineChars="100"/>
              <w:jc w:val="both"/>
              <w:rPr>
                <w:rFonts w:hint="default" w:asciiTheme="majorEastAsia" w:hAnsiTheme="majorEastAsia" w:eastAsiaTheme="majorEastAsia"/>
                <w:b/>
                <w:bCs w:val="0"/>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二</w:t>
            </w:r>
          </w:p>
        </w:tc>
        <w:tc>
          <w:tcPr>
            <w:tcW w:w="4538" w:type="pct"/>
            <w:gridSpan w:val="2"/>
          </w:tcPr>
          <w:p w14:paraId="1A5625CB">
            <w:pPr>
              <w:ind w:right="-340" w:rightChars="-162"/>
              <w:jc w:val="center"/>
              <w:rPr>
                <w:rFonts w:hint="default" w:asciiTheme="majorEastAsia" w:hAnsiTheme="majorEastAsia" w:eastAsiaTheme="majorEastAsia"/>
                <w:b/>
                <w:bCs w:val="0"/>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主要功能及参数</w:t>
            </w:r>
          </w:p>
        </w:tc>
      </w:tr>
      <w:tr w14:paraId="3DFC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2E962ACC">
            <w:pPr>
              <w:jc w:val="center"/>
              <w:rPr>
                <w:rFonts w:hint="eastAsia" w:ascii="宋体" w:hAnsi="宋体" w:eastAsia="宋体" w:cs="宋体"/>
                <w:b w:val="0"/>
                <w:bCs/>
                <w:sz w:val="24"/>
                <w:szCs w:val="24"/>
                <w:vertAlign w:val="baseline"/>
                <w:lang w:val="en-US" w:eastAsia="zh-CN"/>
              </w:rPr>
            </w:pPr>
            <w:r>
              <w:rPr>
                <w:sz w:val="24"/>
                <w:szCs w:val="24"/>
              </w:rPr>
              <w:t>2.1</w:t>
            </w:r>
          </w:p>
        </w:tc>
        <w:tc>
          <w:tcPr>
            <w:tcW w:w="4538" w:type="pct"/>
            <w:gridSpan w:val="2"/>
            <w:vAlign w:val="center"/>
          </w:tcPr>
          <w:p w14:paraId="4A0C0721">
            <w:pPr>
              <w:rPr>
                <w:rFonts w:hint="eastAsia" w:asciiTheme="majorEastAsia" w:hAnsiTheme="majorEastAsia" w:eastAsiaTheme="minorEastAsia"/>
                <w:b w:val="0"/>
                <w:bCs/>
                <w:sz w:val="24"/>
                <w:szCs w:val="24"/>
                <w:vertAlign w:val="baseline"/>
                <w:lang w:val="en-US" w:eastAsia="zh-CN"/>
              </w:rPr>
            </w:pPr>
            <w:r>
              <w:rPr>
                <w:rFonts w:hint="eastAsia"/>
                <w:sz w:val="24"/>
                <w:szCs w:val="24"/>
              </w:rPr>
              <w:t>手柄采用三重防水设计和密封工艺，手柄外观采用阳极氧化涂层抗腐蚀，耐高温高压蒸汽灭菌，减少术中和清洗消毒过程中渗水等带来的损坏，手机防水等级为</w:t>
            </w:r>
            <w:r>
              <w:rPr>
                <w:sz w:val="24"/>
                <w:szCs w:val="24"/>
              </w:rPr>
              <w:t>IPX6</w:t>
            </w:r>
            <w:r>
              <w:rPr>
                <w:rFonts w:hint="eastAsia"/>
                <w:sz w:val="24"/>
                <w:szCs w:val="24"/>
              </w:rPr>
              <w:t>和</w:t>
            </w:r>
            <w:r>
              <w:rPr>
                <w:sz w:val="24"/>
                <w:szCs w:val="24"/>
              </w:rPr>
              <w:t>IPX8</w:t>
            </w:r>
            <w:r>
              <w:rPr>
                <w:rFonts w:hint="eastAsia"/>
                <w:sz w:val="24"/>
                <w:szCs w:val="24"/>
              </w:rPr>
              <w:t>，在水流喷射和浸泡时均可保证防水</w:t>
            </w:r>
            <w:r>
              <w:rPr>
                <w:rFonts w:hint="eastAsia"/>
                <w:sz w:val="24"/>
                <w:szCs w:val="24"/>
                <w:lang w:eastAsia="zh-CN"/>
              </w:rPr>
              <w:t>。</w:t>
            </w:r>
          </w:p>
        </w:tc>
      </w:tr>
      <w:tr w14:paraId="4C4E3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3A324530">
            <w:pPr>
              <w:jc w:val="center"/>
              <w:rPr>
                <w:rFonts w:hint="eastAsia" w:ascii="宋体" w:hAnsi="宋体" w:eastAsia="宋体" w:cs="宋体"/>
                <w:b w:val="0"/>
                <w:bCs/>
                <w:sz w:val="24"/>
                <w:szCs w:val="24"/>
                <w:vertAlign w:val="baseline"/>
                <w:lang w:val="en-US" w:eastAsia="zh-CN"/>
              </w:rPr>
            </w:pPr>
            <w:r>
              <w:rPr>
                <w:sz w:val="24"/>
                <w:szCs w:val="24"/>
              </w:rPr>
              <w:t>2.2</w:t>
            </w:r>
          </w:p>
        </w:tc>
        <w:tc>
          <w:tcPr>
            <w:tcW w:w="4538" w:type="pct"/>
            <w:gridSpan w:val="2"/>
            <w:vAlign w:val="center"/>
          </w:tcPr>
          <w:p w14:paraId="018EB3C9">
            <w:pPr>
              <w:rPr>
                <w:rFonts w:hint="eastAsia" w:asciiTheme="majorEastAsia" w:hAnsiTheme="majorEastAsia" w:eastAsiaTheme="minorEastAsia"/>
                <w:b w:val="0"/>
                <w:bCs/>
                <w:sz w:val="24"/>
                <w:szCs w:val="24"/>
                <w:vertAlign w:val="baseline"/>
                <w:lang w:val="en-US" w:eastAsia="zh-CN"/>
              </w:rPr>
            </w:pPr>
            <w:r>
              <w:rPr>
                <w:rFonts w:hint="eastAsia"/>
                <w:sz w:val="24"/>
                <w:szCs w:val="24"/>
              </w:rPr>
              <w:t>手柄轻便，人机工程学设计，更易把持，胸骨锯（一次开胸）手机重量≤</w:t>
            </w:r>
            <w:r>
              <w:rPr>
                <w:sz w:val="24"/>
                <w:szCs w:val="24"/>
              </w:rPr>
              <w:t>950g</w:t>
            </w:r>
            <w:r>
              <w:rPr>
                <w:rFonts w:hint="eastAsia"/>
                <w:sz w:val="24"/>
                <w:szCs w:val="24"/>
                <w:lang w:eastAsia="zh-CN"/>
              </w:rPr>
              <w:t>，</w:t>
            </w:r>
            <w:r>
              <w:rPr>
                <w:rFonts w:hint="eastAsia"/>
                <w:sz w:val="24"/>
                <w:szCs w:val="24"/>
              </w:rPr>
              <w:t>手机重量（含电池）≤</w:t>
            </w:r>
            <w:r>
              <w:rPr>
                <w:sz w:val="24"/>
                <w:szCs w:val="24"/>
              </w:rPr>
              <w:t>1.3kg</w:t>
            </w:r>
            <w:r>
              <w:rPr>
                <w:rFonts w:hint="eastAsia"/>
                <w:sz w:val="24"/>
                <w:szCs w:val="24"/>
                <w:lang w:eastAsia="zh-CN"/>
              </w:rPr>
              <w:t>。</w:t>
            </w:r>
          </w:p>
        </w:tc>
      </w:tr>
      <w:tr w14:paraId="46B08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609654EA">
            <w:pPr>
              <w:jc w:val="center"/>
              <w:rPr>
                <w:rFonts w:hint="eastAsia" w:ascii="宋体" w:hAnsi="宋体" w:eastAsia="宋体" w:cs="宋体"/>
                <w:b w:val="0"/>
                <w:bCs/>
                <w:sz w:val="24"/>
                <w:szCs w:val="24"/>
                <w:vertAlign w:val="baseline"/>
                <w:lang w:val="en-US" w:eastAsia="zh-CN"/>
              </w:rPr>
            </w:pPr>
            <w:r>
              <w:rPr>
                <w:sz w:val="24"/>
                <w:szCs w:val="24"/>
              </w:rPr>
              <w:t>2.3</w:t>
            </w:r>
          </w:p>
        </w:tc>
        <w:tc>
          <w:tcPr>
            <w:tcW w:w="4538" w:type="pct"/>
            <w:gridSpan w:val="2"/>
            <w:shd w:val="clear" w:color="auto" w:fill="auto"/>
            <w:vAlign w:val="center"/>
          </w:tcPr>
          <w:p w14:paraId="3C1A3A3A">
            <w:pPr>
              <w:rPr>
                <w:rFonts w:hint="eastAsia" w:asciiTheme="majorEastAsia" w:hAnsiTheme="majorEastAsia" w:eastAsiaTheme="minorEastAsia" w:cstheme="minorBidi"/>
                <w:b w:val="0"/>
                <w:bCs/>
                <w:kern w:val="2"/>
                <w:sz w:val="24"/>
                <w:szCs w:val="24"/>
                <w:vertAlign w:val="baseline"/>
                <w:lang w:val="en-US" w:eastAsia="zh-CN" w:bidi="ar-SA"/>
              </w:rPr>
            </w:pPr>
            <w:r>
              <w:rPr>
                <w:rFonts w:hint="eastAsia"/>
                <w:sz w:val="24"/>
                <w:szCs w:val="24"/>
              </w:rPr>
              <w:t>采用无碳刷马达，胸骨锯（一次开胸）最大往复速度≥</w:t>
            </w:r>
            <w:r>
              <w:rPr>
                <w:sz w:val="24"/>
                <w:szCs w:val="24"/>
              </w:rPr>
              <w:t>14500cpm</w:t>
            </w:r>
            <w:r>
              <w:rPr>
                <w:rFonts w:hint="eastAsia"/>
                <w:sz w:val="24"/>
                <w:szCs w:val="24"/>
                <w:lang w:eastAsia="zh-CN"/>
              </w:rPr>
              <w:t>。</w:t>
            </w:r>
            <w:r>
              <w:rPr>
                <w:rFonts w:hint="eastAsia"/>
                <w:sz w:val="24"/>
                <w:szCs w:val="24"/>
              </w:rPr>
              <w:t>胸骨锯冲程≤</w:t>
            </w:r>
            <w:r>
              <w:rPr>
                <w:sz w:val="24"/>
                <w:szCs w:val="24"/>
              </w:rPr>
              <w:t>3.2mm</w:t>
            </w:r>
            <w:r>
              <w:rPr>
                <w:rFonts w:hint="eastAsia"/>
                <w:sz w:val="24"/>
                <w:szCs w:val="24"/>
                <w:lang w:eastAsia="zh-CN"/>
              </w:rPr>
              <w:t>。</w:t>
            </w:r>
          </w:p>
        </w:tc>
      </w:tr>
      <w:tr w14:paraId="17D31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54BC6E0E">
            <w:pPr>
              <w:jc w:val="center"/>
              <w:rPr>
                <w:rFonts w:hint="eastAsia" w:ascii="宋体" w:hAnsi="宋体" w:eastAsia="宋体" w:cs="宋体"/>
                <w:b w:val="0"/>
                <w:bCs/>
                <w:sz w:val="24"/>
                <w:szCs w:val="24"/>
                <w:vertAlign w:val="baseline"/>
                <w:lang w:val="en-US" w:eastAsia="zh-CN"/>
              </w:rPr>
            </w:pPr>
            <w:r>
              <w:rPr>
                <w:sz w:val="24"/>
                <w:szCs w:val="24"/>
              </w:rPr>
              <w:t>2.4</w:t>
            </w:r>
          </w:p>
        </w:tc>
        <w:tc>
          <w:tcPr>
            <w:tcW w:w="4538" w:type="pct"/>
            <w:gridSpan w:val="2"/>
            <w:shd w:val="clear" w:color="auto" w:fill="auto"/>
            <w:vAlign w:val="center"/>
          </w:tcPr>
          <w:p w14:paraId="1E253A5A">
            <w:pPr>
              <w:rPr>
                <w:rFonts w:hint="eastAsia" w:asciiTheme="majorEastAsia" w:hAnsiTheme="majorEastAsia" w:eastAsiaTheme="minorEastAsia" w:cstheme="minorBidi"/>
                <w:b w:val="0"/>
                <w:bCs/>
                <w:kern w:val="2"/>
                <w:sz w:val="24"/>
                <w:szCs w:val="24"/>
                <w:vertAlign w:val="baseline"/>
                <w:lang w:val="en-US" w:eastAsia="zh-CN" w:bidi="ar-SA"/>
              </w:rPr>
            </w:pPr>
            <w:r>
              <w:rPr>
                <w:rFonts w:hint="eastAsia"/>
                <w:sz w:val="24"/>
                <w:szCs w:val="24"/>
              </w:rPr>
              <w:t>具有无极变速功能，等效于≥</w:t>
            </w:r>
            <w:r>
              <w:rPr>
                <w:sz w:val="24"/>
                <w:szCs w:val="24"/>
              </w:rPr>
              <w:t>400</w:t>
            </w:r>
            <w:r>
              <w:rPr>
                <w:rFonts w:hint="eastAsia"/>
                <w:sz w:val="24"/>
                <w:szCs w:val="24"/>
              </w:rPr>
              <w:t>档的速度调节</w:t>
            </w:r>
            <w:r>
              <w:rPr>
                <w:rFonts w:hint="eastAsia"/>
                <w:sz w:val="24"/>
                <w:szCs w:val="24"/>
                <w:lang w:eastAsia="zh-CN"/>
              </w:rPr>
              <w:t>。</w:t>
            </w:r>
          </w:p>
        </w:tc>
      </w:tr>
      <w:tr w14:paraId="38BF3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12D85C30">
            <w:pPr>
              <w:jc w:val="center"/>
              <w:rPr>
                <w:rFonts w:hint="eastAsia" w:ascii="宋体" w:hAnsi="宋体" w:eastAsia="宋体" w:cs="宋体"/>
                <w:b w:val="0"/>
                <w:bCs/>
                <w:sz w:val="24"/>
                <w:szCs w:val="24"/>
                <w:vertAlign w:val="baseline"/>
                <w:lang w:val="en-US" w:eastAsia="zh-CN"/>
              </w:rPr>
            </w:pPr>
            <w:r>
              <w:rPr>
                <w:sz w:val="24"/>
                <w:szCs w:val="24"/>
              </w:rPr>
              <w:t>2.5</w:t>
            </w:r>
          </w:p>
        </w:tc>
        <w:tc>
          <w:tcPr>
            <w:tcW w:w="4538" w:type="pct"/>
            <w:gridSpan w:val="2"/>
            <w:shd w:val="clear" w:color="auto" w:fill="auto"/>
            <w:vAlign w:val="center"/>
          </w:tcPr>
          <w:p w14:paraId="371F0D4D">
            <w:pPr>
              <w:rPr>
                <w:rFonts w:hint="eastAsia" w:asciiTheme="majorEastAsia" w:hAnsiTheme="majorEastAsia" w:eastAsiaTheme="minorEastAsia" w:cstheme="minorBidi"/>
                <w:b w:val="0"/>
                <w:bCs/>
                <w:kern w:val="2"/>
                <w:sz w:val="24"/>
                <w:szCs w:val="24"/>
                <w:vertAlign w:val="baseline"/>
                <w:lang w:val="en-US" w:eastAsia="zh-CN" w:bidi="ar-SA"/>
              </w:rPr>
            </w:pPr>
            <w:r>
              <w:rPr>
                <w:rFonts w:hint="eastAsia"/>
                <w:sz w:val="24"/>
                <w:szCs w:val="24"/>
              </w:rPr>
              <w:t>具有安全开关锁定功能，避免手术误操作，保证手术安全</w:t>
            </w:r>
            <w:r>
              <w:rPr>
                <w:rFonts w:hint="eastAsia"/>
                <w:sz w:val="24"/>
                <w:szCs w:val="24"/>
                <w:lang w:eastAsia="zh-CN"/>
              </w:rPr>
              <w:t>。</w:t>
            </w:r>
          </w:p>
        </w:tc>
      </w:tr>
      <w:tr w14:paraId="052A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21081CD0">
            <w:pPr>
              <w:jc w:val="center"/>
              <w:rPr>
                <w:rFonts w:hint="eastAsia" w:ascii="宋体" w:hAnsi="宋体" w:eastAsia="宋体" w:cs="宋体"/>
                <w:b w:val="0"/>
                <w:bCs/>
                <w:sz w:val="24"/>
                <w:szCs w:val="24"/>
                <w:vertAlign w:val="baseline"/>
                <w:lang w:val="en-US" w:eastAsia="zh-CN"/>
              </w:rPr>
            </w:pPr>
            <w:r>
              <w:rPr>
                <w:sz w:val="24"/>
                <w:szCs w:val="24"/>
              </w:rPr>
              <w:t>2.6</w:t>
            </w:r>
          </w:p>
        </w:tc>
        <w:tc>
          <w:tcPr>
            <w:tcW w:w="4538" w:type="pct"/>
            <w:gridSpan w:val="2"/>
            <w:shd w:val="clear" w:color="auto" w:fill="auto"/>
            <w:vAlign w:val="center"/>
          </w:tcPr>
          <w:p w14:paraId="30D8AE85">
            <w:pPr>
              <w:rPr>
                <w:rFonts w:hint="eastAsia" w:asciiTheme="majorEastAsia" w:hAnsiTheme="majorEastAsia" w:eastAsiaTheme="minorEastAsia" w:cstheme="minorBidi"/>
                <w:b w:val="0"/>
                <w:bCs/>
                <w:kern w:val="2"/>
                <w:sz w:val="24"/>
                <w:szCs w:val="24"/>
                <w:vertAlign w:val="baseline"/>
                <w:lang w:val="en-US" w:eastAsia="zh-CN" w:bidi="ar-SA"/>
              </w:rPr>
            </w:pPr>
            <w:r>
              <w:rPr>
                <w:rFonts w:hint="eastAsia"/>
                <w:sz w:val="24"/>
                <w:szCs w:val="24"/>
              </w:rPr>
              <w:t>可根锯患者情况搭配多种型号同品牌锯片，可重复使用胸骨锯片保护套，胸骨往复锯片，最大长度≥</w:t>
            </w:r>
            <w:r>
              <w:rPr>
                <w:sz w:val="24"/>
                <w:szCs w:val="24"/>
              </w:rPr>
              <w:t>54mm</w:t>
            </w:r>
            <w:r>
              <w:rPr>
                <w:rFonts w:hint="eastAsia"/>
                <w:sz w:val="24"/>
                <w:szCs w:val="24"/>
              </w:rPr>
              <w:t>，最大宽度≥</w:t>
            </w:r>
            <w:r>
              <w:rPr>
                <w:sz w:val="24"/>
                <w:szCs w:val="24"/>
              </w:rPr>
              <w:t>10mm</w:t>
            </w:r>
            <w:r>
              <w:rPr>
                <w:rFonts w:hint="eastAsia"/>
                <w:sz w:val="24"/>
                <w:szCs w:val="24"/>
                <w:lang w:eastAsia="zh-CN"/>
              </w:rPr>
              <w:t>。</w:t>
            </w:r>
          </w:p>
        </w:tc>
      </w:tr>
      <w:tr w14:paraId="36F5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3DA404F5">
            <w:pPr>
              <w:jc w:val="center"/>
              <w:rPr>
                <w:rFonts w:hint="eastAsia" w:ascii="宋体" w:hAnsi="宋体" w:eastAsia="宋体" w:cs="宋体"/>
                <w:b w:val="0"/>
                <w:bCs/>
                <w:sz w:val="24"/>
                <w:szCs w:val="24"/>
                <w:vertAlign w:val="baseline"/>
                <w:lang w:val="en-US" w:eastAsia="zh-CN"/>
              </w:rPr>
            </w:pPr>
            <w:r>
              <w:rPr>
                <w:sz w:val="24"/>
                <w:szCs w:val="24"/>
              </w:rPr>
              <w:t>2.7</w:t>
            </w:r>
          </w:p>
        </w:tc>
        <w:tc>
          <w:tcPr>
            <w:tcW w:w="4538" w:type="pct"/>
            <w:gridSpan w:val="2"/>
            <w:shd w:val="clear" w:color="auto" w:fill="auto"/>
            <w:vAlign w:val="center"/>
          </w:tcPr>
          <w:p w14:paraId="79E8B3FE">
            <w:pPr>
              <w:rPr>
                <w:rFonts w:hint="eastAsia" w:asciiTheme="majorEastAsia" w:hAnsiTheme="majorEastAsia" w:eastAsiaTheme="minorEastAsia" w:cstheme="minorBidi"/>
                <w:b w:val="0"/>
                <w:bCs/>
                <w:kern w:val="2"/>
                <w:sz w:val="24"/>
                <w:szCs w:val="24"/>
                <w:vertAlign w:val="baseline"/>
                <w:lang w:val="en-US" w:eastAsia="zh-CN" w:bidi="ar-SA"/>
              </w:rPr>
            </w:pPr>
            <w:r>
              <w:rPr>
                <w:rFonts w:hint="eastAsia"/>
                <w:sz w:val="24"/>
                <w:szCs w:val="24"/>
              </w:rPr>
              <w:t>所有手机均采用无碳刷马达</w:t>
            </w:r>
            <w:r>
              <w:rPr>
                <w:rFonts w:hint="eastAsia"/>
                <w:sz w:val="24"/>
                <w:szCs w:val="24"/>
                <w:lang w:eastAsia="zh-CN"/>
              </w:rPr>
              <w:t>，</w:t>
            </w:r>
            <w:r>
              <w:rPr>
                <w:rFonts w:hint="eastAsia"/>
                <w:sz w:val="24"/>
                <w:szCs w:val="24"/>
              </w:rPr>
              <w:t>保护套规格≥</w:t>
            </w:r>
            <w:r>
              <w:rPr>
                <w:sz w:val="24"/>
                <w:szCs w:val="24"/>
              </w:rPr>
              <w:t>2</w:t>
            </w:r>
            <w:r>
              <w:rPr>
                <w:rFonts w:hint="eastAsia"/>
                <w:sz w:val="24"/>
                <w:szCs w:val="24"/>
              </w:rPr>
              <w:t>种</w:t>
            </w:r>
            <w:r>
              <w:rPr>
                <w:rFonts w:hint="eastAsia"/>
                <w:sz w:val="24"/>
                <w:szCs w:val="24"/>
                <w:lang w:eastAsia="zh-CN"/>
              </w:rPr>
              <w:t>。</w:t>
            </w:r>
          </w:p>
        </w:tc>
      </w:tr>
      <w:tr w14:paraId="5AB27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034CCBF9">
            <w:pPr>
              <w:jc w:val="center"/>
              <w:rPr>
                <w:rFonts w:hint="eastAsia" w:ascii="宋体" w:hAnsi="宋体" w:eastAsia="宋体" w:cs="宋体"/>
                <w:b w:val="0"/>
                <w:bCs/>
                <w:sz w:val="24"/>
                <w:szCs w:val="24"/>
                <w:vertAlign w:val="baseline"/>
                <w:lang w:val="en-US" w:eastAsia="zh-CN"/>
              </w:rPr>
            </w:pPr>
            <w:r>
              <w:rPr>
                <w:sz w:val="24"/>
                <w:szCs w:val="24"/>
              </w:rPr>
              <w:t>2.8</w:t>
            </w:r>
          </w:p>
        </w:tc>
        <w:tc>
          <w:tcPr>
            <w:tcW w:w="4538" w:type="pct"/>
            <w:gridSpan w:val="2"/>
            <w:shd w:val="clear" w:color="auto" w:fill="auto"/>
            <w:vAlign w:val="center"/>
          </w:tcPr>
          <w:p w14:paraId="43CC8090">
            <w:pPr>
              <w:rPr>
                <w:rFonts w:hint="eastAsia" w:asciiTheme="majorEastAsia" w:hAnsiTheme="majorEastAsia" w:eastAsiaTheme="majorEastAsia" w:cstheme="minorBidi"/>
                <w:b/>
                <w:bCs w:val="0"/>
                <w:kern w:val="2"/>
                <w:sz w:val="24"/>
                <w:szCs w:val="24"/>
                <w:vertAlign w:val="baseline"/>
                <w:lang w:val="en-US" w:eastAsia="zh-CN" w:bidi="ar-SA"/>
              </w:rPr>
            </w:pPr>
            <w:r>
              <w:rPr>
                <w:rFonts w:hint="eastAsia"/>
                <w:sz w:val="24"/>
                <w:szCs w:val="24"/>
              </w:rPr>
              <w:t>手柄、电池均可高温高压消毒，手柄可接同品牌免消毒镍镉和镍金属氢电池以及可高温高压灭菌的锂电池，三种电池都可以通过手机的电池插座安装。</w:t>
            </w:r>
          </w:p>
        </w:tc>
      </w:tr>
      <w:tr w14:paraId="7E8D1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061EB4F0">
            <w:pPr>
              <w:jc w:val="center"/>
              <w:rPr>
                <w:rFonts w:hint="eastAsia" w:ascii="宋体" w:hAnsi="宋体" w:eastAsia="宋体" w:cs="宋体"/>
                <w:b w:val="0"/>
                <w:bCs/>
                <w:sz w:val="24"/>
                <w:szCs w:val="24"/>
                <w:vertAlign w:val="baseline"/>
                <w:lang w:val="en-US" w:eastAsia="zh-CN"/>
              </w:rPr>
            </w:pPr>
            <w:r>
              <w:rPr>
                <w:sz w:val="24"/>
                <w:szCs w:val="24"/>
              </w:rPr>
              <w:t>2.9</w:t>
            </w:r>
          </w:p>
        </w:tc>
        <w:tc>
          <w:tcPr>
            <w:tcW w:w="4538" w:type="pct"/>
            <w:gridSpan w:val="2"/>
            <w:shd w:val="clear" w:color="auto" w:fill="auto"/>
            <w:vAlign w:val="center"/>
          </w:tcPr>
          <w:p w14:paraId="7E54EB38">
            <w:pPr>
              <w:rPr>
                <w:rFonts w:hint="eastAsia" w:asciiTheme="majorEastAsia" w:hAnsiTheme="majorEastAsia" w:eastAsiaTheme="minorEastAsia" w:cstheme="minorBidi"/>
                <w:b/>
                <w:bCs w:val="0"/>
                <w:kern w:val="2"/>
                <w:sz w:val="24"/>
                <w:szCs w:val="24"/>
                <w:vertAlign w:val="baseline"/>
                <w:lang w:val="en-US" w:eastAsia="zh-CN" w:bidi="ar-SA"/>
              </w:rPr>
            </w:pPr>
            <w:r>
              <w:rPr>
                <w:rFonts w:hint="eastAsia"/>
                <w:sz w:val="24"/>
                <w:szCs w:val="24"/>
              </w:rPr>
              <w:t>锂电池可以适配所有的</w:t>
            </w:r>
            <w:r>
              <w:rPr>
                <w:sz w:val="24"/>
                <w:szCs w:val="24"/>
              </w:rPr>
              <w:t>MINI</w:t>
            </w:r>
            <w:r>
              <w:rPr>
                <w:rFonts w:hint="eastAsia"/>
                <w:sz w:val="24"/>
                <w:szCs w:val="24"/>
              </w:rPr>
              <w:t>型手机，单板机钻手机，双扳机钻手机，摆锯手机，往复锯手机，胸骨锯手机</w:t>
            </w:r>
            <w:r>
              <w:rPr>
                <w:rFonts w:hint="eastAsia"/>
                <w:sz w:val="24"/>
                <w:szCs w:val="24"/>
                <w:lang w:eastAsia="zh-CN"/>
              </w:rPr>
              <w:t>。</w:t>
            </w:r>
            <w:r>
              <w:rPr>
                <w:rFonts w:hint="eastAsia"/>
                <w:sz w:val="24"/>
                <w:szCs w:val="24"/>
              </w:rPr>
              <w:t>同品牌各型号胸骨锯的手柄、电池、接口、锯片等均可匹配通用</w:t>
            </w:r>
            <w:r>
              <w:rPr>
                <w:rFonts w:hint="eastAsia"/>
                <w:sz w:val="24"/>
                <w:szCs w:val="24"/>
                <w:lang w:eastAsia="zh-CN"/>
              </w:rPr>
              <w:t>。</w:t>
            </w:r>
          </w:p>
        </w:tc>
      </w:tr>
      <w:tr w14:paraId="169B1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34852853">
            <w:pPr>
              <w:jc w:val="center"/>
              <w:rPr>
                <w:rFonts w:hint="eastAsia" w:ascii="宋体" w:hAnsi="宋体" w:eastAsia="宋体" w:cs="宋体"/>
                <w:b w:val="0"/>
                <w:bCs/>
                <w:sz w:val="24"/>
                <w:szCs w:val="24"/>
                <w:vertAlign w:val="baseline"/>
                <w:lang w:val="en-US" w:eastAsia="zh-CN"/>
              </w:rPr>
            </w:pPr>
            <w:r>
              <w:rPr>
                <w:sz w:val="24"/>
                <w:szCs w:val="24"/>
              </w:rPr>
              <w:t>2.10</w:t>
            </w:r>
          </w:p>
        </w:tc>
        <w:tc>
          <w:tcPr>
            <w:tcW w:w="4538" w:type="pct"/>
            <w:gridSpan w:val="2"/>
            <w:shd w:val="clear" w:color="auto" w:fill="auto"/>
            <w:vAlign w:val="center"/>
          </w:tcPr>
          <w:p w14:paraId="1A9AB650">
            <w:pPr>
              <w:rPr>
                <w:rFonts w:hint="eastAsia" w:asciiTheme="majorEastAsia" w:hAnsiTheme="majorEastAsia" w:eastAsiaTheme="minorEastAsia" w:cstheme="minorBidi"/>
                <w:b/>
                <w:bCs w:val="0"/>
                <w:kern w:val="2"/>
                <w:sz w:val="24"/>
                <w:szCs w:val="24"/>
                <w:vertAlign w:val="baseline"/>
                <w:lang w:val="en-US" w:eastAsia="zh-CN" w:bidi="ar-SA"/>
              </w:rPr>
            </w:pPr>
            <w:r>
              <w:rPr>
                <w:rFonts w:hint="eastAsia"/>
                <w:sz w:val="24"/>
                <w:szCs w:val="24"/>
              </w:rPr>
              <w:t>锂电池使用专用充电器充电时，充电时间≤</w:t>
            </w:r>
            <w:r>
              <w:rPr>
                <w:sz w:val="24"/>
                <w:szCs w:val="24"/>
              </w:rPr>
              <w:t>30</w:t>
            </w:r>
            <w:r>
              <w:rPr>
                <w:rFonts w:hint="eastAsia"/>
                <w:sz w:val="24"/>
                <w:szCs w:val="24"/>
              </w:rPr>
              <w:t>分钟，平均充电时间≤</w:t>
            </w:r>
            <w:r>
              <w:rPr>
                <w:sz w:val="24"/>
                <w:szCs w:val="24"/>
              </w:rPr>
              <w:t>12</w:t>
            </w:r>
            <w:r>
              <w:rPr>
                <w:rFonts w:hint="eastAsia"/>
                <w:sz w:val="24"/>
                <w:szCs w:val="24"/>
              </w:rPr>
              <w:t>分钟；一台充电器可同时≥</w:t>
            </w:r>
            <w:r>
              <w:rPr>
                <w:sz w:val="24"/>
                <w:szCs w:val="24"/>
              </w:rPr>
              <w:t>4</w:t>
            </w:r>
            <w:r>
              <w:rPr>
                <w:rFonts w:hint="eastAsia"/>
                <w:sz w:val="24"/>
                <w:szCs w:val="24"/>
              </w:rPr>
              <w:t>块电池快速充电，充电器装配显示屏，可同时显示≥</w:t>
            </w:r>
            <w:r>
              <w:rPr>
                <w:sz w:val="24"/>
                <w:szCs w:val="24"/>
              </w:rPr>
              <w:t>4</w:t>
            </w:r>
            <w:r>
              <w:rPr>
                <w:rFonts w:hint="eastAsia"/>
                <w:sz w:val="24"/>
                <w:szCs w:val="24"/>
              </w:rPr>
              <w:t>块电池的充电状态</w:t>
            </w:r>
            <w:r>
              <w:rPr>
                <w:rFonts w:hint="eastAsia"/>
                <w:sz w:val="24"/>
                <w:szCs w:val="24"/>
                <w:lang w:eastAsia="zh-CN"/>
              </w:rPr>
              <w:t>。</w:t>
            </w:r>
          </w:p>
        </w:tc>
      </w:tr>
      <w:tr w14:paraId="4A72B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1814243E">
            <w:pPr>
              <w:jc w:val="center"/>
              <w:rPr>
                <w:rFonts w:hint="eastAsia" w:ascii="宋体" w:hAnsi="宋体" w:eastAsia="宋体" w:cs="宋体"/>
                <w:b w:val="0"/>
                <w:bCs/>
                <w:sz w:val="24"/>
                <w:szCs w:val="24"/>
                <w:vertAlign w:val="baseline"/>
                <w:lang w:val="en-US" w:eastAsia="zh-CN"/>
              </w:rPr>
            </w:pPr>
            <w:r>
              <w:rPr>
                <w:sz w:val="24"/>
                <w:szCs w:val="24"/>
              </w:rPr>
              <w:t>2.11</w:t>
            </w:r>
          </w:p>
        </w:tc>
        <w:tc>
          <w:tcPr>
            <w:tcW w:w="4538" w:type="pct"/>
            <w:gridSpan w:val="2"/>
            <w:shd w:val="clear" w:color="auto" w:fill="auto"/>
            <w:vAlign w:val="center"/>
          </w:tcPr>
          <w:p w14:paraId="5249CBEA">
            <w:pPr>
              <w:rPr>
                <w:rFonts w:hint="eastAsia" w:asciiTheme="majorEastAsia" w:hAnsiTheme="majorEastAsia" w:eastAsiaTheme="majorEastAsia" w:cstheme="minorBidi"/>
                <w:b/>
                <w:bCs w:val="0"/>
                <w:kern w:val="2"/>
                <w:sz w:val="24"/>
                <w:szCs w:val="24"/>
                <w:vertAlign w:val="baseline"/>
                <w:lang w:val="en-US" w:eastAsia="zh-CN" w:bidi="ar-SA"/>
              </w:rPr>
            </w:pPr>
            <w:r>
              <w:rPr>
                <w:rFonts w:hint="eastAsia"/>
                <w:sz w:val="24"/>
                <w:szCs w:val="24"/>
              </w:rPr>
              <w:t>充电器具备充电次数记忆功能、故障信息记录功能及最高温度记忆功能。</w:t>
            </w:r>
          </w:p>
        </w:tc>
      </w:tr>
      <w:tr w14:paraId="43D4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center"/>
          </w:tcPr>
          <w:p w14:paraId="36BD3A0D">
            <w:pPr>
              <w:jc w:val="center"/>
              <w:rPr>
                <w:rFonts w:hint="eastAsia" w:ascii="宋体" w:hAnsi="宋体" w:eastAsia="宋体" w:cs="宋体"/>
                <w:b w:val="0"/>
                <w:bCs/>
                <w:sz w:val="24"/>
                <w:szCs w:val="24"/>
                <w:vertAlign w:val="baseline"/>
                <w:lang w:val="en-US" w:eastAsia="zh-CN"/>
              </w:rPr>
            </w:pPr>
            <w:r>
              <w:rPr>
                <w:sz w:val="24"/>
                <w:szCs w:val="24"/>
              </w:rPr>
              <w:t>2.12</w:t>
            </w:r>
          </w:p>
        </w:tc>
        <w:tc>
          <w:tcPr>
            <w:tcW w:w="4538" w:type="pct"/>
            <w:gridSpan w:val="2"/>
            <w:shd w:val="clear" w:color="auto" w:fill="auto"/>
            <w:vAlign w:val="center"/>
          </w:tcPr>
          <w:p w14:paraId="743BC043">
            <w:pPr>
              <w:autoSpaceDE w:val="0"/>
              <w:autoSpaceDN w:val="0"/>
              <w:adjustRightInd w:val="0"/>
              <w:rPr>
                <w:rFonts w:hint="eastAsia" w:asciiTheme="majorEastAsia" w:hAnsiTheme="majorEastAsia" w:eastAsiaTheme="minorEastAsia" w:cstheme="minorBidi"/>
                <w:b/>
                <w:bCs w:val="0"/>
                <w:kern w:val="2"/>
                <w:sz w:val="24"/>
                <w:szCs w:val="24"/>
                <w:vertAlign w:val="baseline"/>
                <w:lang w:val="en-US" w:eastAsia="zh-CN" w:bidi="ar-SA"/>
              </w:rPr>
            </w:pPr>
            <w:r>
              <w:rPr>
                <w:rFonts w:hint="eastAsia"/>
                <w:sz w:val="24"/>
                <w:szCs w:val="24"/>
              </w:rPr>
              <w:t>锂电池可高温高压灭菌，其功率、容量和运行时间是标准电池的两倍</w:t>
            </w:r>
            <w:r>
              <w:rPr>
                <w:rFonts w:hint="eastAsia"/>
                <w:sz w:val="24"/>
                <w:szCs w:val="24"/>
                <w:lang w:eastAsia="zh-CN"/>
              </w:rPr>
              <w:t>。</w:t>
            </w:r>
          </w:p>
        </w:tc>
      </w:tr>
      <w:tr w14:paraId="6D9D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61" w:type="pct"/>
            <w:vAlign w:val="top"/>
          </w:tcPr>
          <w:p w14:paraId="4FF3356E">
            <w:pPr>
              <w:ind w:right="-340" w:rightChars="-162" w:firstLine="241" w:firstLineChars="100"/>
              <w:jc w:val="both"/>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Theme="majorEastAsia" w:hAnsiTheme="majorEastAsia" w:eastAsiaTheme="majorEastAsia"/>
                <w:b/>
                <w:bCs w:val="0"/>
                <w:sz w:val="24"/>
                <w:szCs w:val="24"/>
                <w:vertAlign w:val="baseline"/>
                <w:lang w:val="en-US" w:eastAsia="zh-CN"/>
              </w:rPr>
              <w:t>三</w:t>
            </w:r>
          </w:p>
        </w:tc>
        <w:tc>
          <w:tcPr>
            <w:tcW w:w="4538" w:type="pct"/>
            <w:gridSpan w:val="2"/>
            <w:vAlign w:val="top"/>
          </w:tcPr>
          <w:p w14:paraId="0D8894C6">
            <w:pPr>
              <w:ind w:right="-340" w:rightChars="-162"/>
              <w:jc w:val="center"/>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Theme="majorEastAsia" w:hAnsiTheme="majorEastAsia" w:eastAsiaTheme="majorEastAsia"/>
                <w:b/>
                <w:bCs w:val="0"/>
                <w:sz w:val="24"/>
                <w:szCs w:val="24"/>
                <w:vertAlign w:val="baseline"/>
                <w:lang w:val="en-US" w:eastAsia="zh-CN"/>
              </w:rPr>
              <w:t>主要配置及附件</w:t>
            </w:r>
          </w:p>
        </w:tc>
      </w:tr>
      <w:tr w14:paraId="7FCC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08730997">
            <w:pPr>
              <w:ind w:right="-340" w:rightChars="-162" w:firstLine="240" w:firstLineChars="100"/>
              <w:jc w:val="both"/>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3.1</w:t>
            </w:r>
          </w:p>
        </w:tc>
        <w:tc>
          <w:tcPr>
            <w:tcW w:w="4538" w:type="pct"/>
            <w:gridSpan w:val="2"/>
            <w:vAlign w:val="top"/>
          </w:tcPr>
          <w:p w14:paraId="12F10FAB">
            <w:pPr>
              <w:ind w:right="17" w:rightChars="8"/>
              <w:jc w:val="both"/>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宋体" w:hAnsi="宋体" w:cs="宋体" w:eastAsiaTheme="majorEastAsia"/>
                <w:b w:val="0"/>
                <w:bCs w:val="0"/>
                <w:color w:val="auto"/>
                <w:kern w:val="2"/>
                <w:sz w:val="24"/>
                <w:szCs w:val="24"/>
                <w:lang w:val="en-US" w:eastAsia="zh-CN" w:bidi="ar-SA"/>
              </w:rPr>
              <w:t>胸骨锯手柄3把</w:t>
            </w:r>
          </w:p>
        </w:tc>
      </w:tr>
      <w:tr w14:paraId="4032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0F11C9A9">
            <w:pPr>
              <w:ind w:right="-340" w:rightChars="-162" w:firstLine="240" w:firstLineChars="100"/>
              <w:jc w:val="both"/>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3.2</w:t>
            </w:r>
          </w:p>
        </w:tc>
        <w:tc>
          <w:tcPr>
            <w:tcW w:w="4538" w:type="pct"/>
            <w:gridSpan w:val="2"/>
            <w:vAlign w:val="top"/>
          </w:tcPr>
          <w:p w14:paraId="29DA0032">
            <w:pPr>
              <w:ind w:right="17" w:rightChars="8"/>
              <w:jc w:val="both"/>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宋体" w:hAnsi="宋体" w:eastAsia="宋体" w:cs="宋体"/>
                <w:b w:val="0"/>
                <w:bCs w:val="0"/>
                <w:color w:val="auto"/>
                <w:kern w:val="2"/>
                <w:sz w:val="24"/>
                <w:szCs w:val="24"/>
                <w:lang w:val="en-US" w:eastAsia="zh-CN" w:bidi="ar-SA"/>
              </w:rPr>
              <w:t>胸骨锯护套3个</w:t>
            </w:r>
          </w:p>
        </w:tc>
      </w:tr>
      <w:tr w14:paraId="0959C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0D12264B">
            <w:pPr>
              <w:ind w:right="-340" w:rightChars="-162" w:firstLine="240" w:firstLineChars="100"/>
              <w:jc w:val="both"/>
              <w:rPr>
                <w:rFonts w:hint="eastAsia"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3.3</w:t>
            </w:r>
          </w:p>
        </w:tc>
        <w:tc>
          <w:tcPr>
            <w:tcW w:w="4538" w:type="pct"/>
            <w:gridSpan w:val="2"/>
            <w:shd w:val="clear" w:color="auto" w:fill="auto"/>
            <w:vAlign w:val="top"/>
          </w:tcPr>
          <w:p w14:paraId="036FA579">
            <w:pPr>
              <w:ind w:right="-340" w:rightChars="-162"/>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免消毒电池10块</w:t>
            </w:r>
          </w:p>
        </w:tc>
      </w:tr>
      <w:tr w14:paraId="39535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shd w:val="clear" w:color="auto" w:fill="auto"/>
            <w:vAlign w:val="top"/>
          </w:tcPr>
          <w:p w14:paraId="54127B67">
            <w:pPr>
              <w:ind w:right="-340" w:rightChars="-162" w:firstLine="240" w:firstLineChars="100"/>
              <w:jc w:val="both"/>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3.4</w:t>
            </w:r>
          </w:p>
        </w:tc>
        <w:tc>
          <w:tcPr>
            <w:tcW w:w="4538" w:type="pct"/>
            <w:gridSpan w:val="2"/>
            <w:shd w:val="clear" w:color="auto" w:fill="auto"/>
            <w:vAlign w:val="top"/>
          </w:tcPr>
          <w:p w14:paraId="50B70E1C">
            <w:pPr>
              <w:ind w:right="-340" w:rightChars="-162"/>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电池转运罩3个</w:t>
            </w:r>
          </w:p>
        </w:tc>
      </w:tr>
      <w:tr w14:paraId="0CA76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shd w:val="clear" w:color="auto" w:fill="auto"/>
            <w:vAlign w:val="top"/>
          </w:tcPr>
          <w:p w14:paraId="5189474D">
            <w:pPr>
              <w:ind w:right="-340" w:rightChars="-162" w:firstLine="240" w:firstLineChars="100"/>
              <w:jc w:val="both"/>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3.5</w:t>
            </w:r>
          </w:p>
        </w:tc>
        <w:tc>
          <w:tcPr>
            <w:tcW w:w="4538" w:type="pct"/>
            <w:gridSpan w:val="2"/>
            <w:vAlign w:val="top"/>
          </w:tcPr>
          <w:p w14:paraId="57E3D8F9">
            <w:pPr>
              <w:ind w:right="-340" w:rightChars="-162"/>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电池充电适配器3个</w:t>
            </w:r>
          </w:p>
        </w:tc>
      </w:tr>
      <w:tr w14:paraId="66BCC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shd w:val="clear" w:color="auto" w:fill="auto"/>
            <w:vAlign w:val="top"/>
          </w:tcPr>
          <w:p w14:paraId="3D4A887C">
            <w:pPr>
              <w:ind w:right="-340" w:rightChars="-162" w:firstLine="240" w:firstLineChars="100"/>
              <w:jc w:val="both"/>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3.6</w:t>
            </w:r>
          </w:p>
        </w:tc>
        <w:tc>
          <w:tcPr>
            <w:tcW w:w="4538" w:type="pct"/>
            <w:gridSpan w:val="2"/>
            <w:shd w:val="clear" w:color="auto" w:fill="auto"/>
            <w:vAlign w:val="top"/>
          </w:tcPr>
          <w:p w14:paraId="3166C1A2">
            <w:pPr>
              <w:ind w:right="-340" w:rightChars="-162"/>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电池盒15个</w:t>
            </w:r>
          </w:p>
        </w:tc>
      </w:tr>
      <w:tr w14:paraId="6C03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43B7BE59">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3.7</w:t>
            </w:r>
          </w:p>
        </w:tc>
        <w:tc>
          <w:tcPr>
            <w:tcW w:w="4538" w:type="pct"/>
            <w:gridSpan w:val="2"/>
            <w:shd w:val="clear" w:color="auto" w:fill="auto"/>
            <w:vAlign w:val="top"/>
          </w:tcPr>
          <w:p w14:paraId="3EC9376A">
            <w:pPr>
              <w:ind w:right="-340" w:rightChars="-162"/>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宋体" w:hAnsi="宋体" w:eastAsia="宋体" w:cs="宋体"/>
                <w:bCs/>
                <w:kern w:val="2"/>
                <w:sz w:val="24"/>
                <w:szCs w:val="24"/>
                <w:lang w:val="en-US" w:eastAsia="zh-CN" w:bidi="ar-SA"/>
              </w:rPr>
              <w:t>胸骨锯片10片</w:t>
            </w:r>
          </w:p>
        </w:tc>
      </w:tr>
      <w:tr w14:paraId="42FC5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shd w:val="clear" w:color="auto" w:fill="auto"/>
            <w:vAlign w:val="top"/>
          </w:tcPr>
          <w:p w14:paraId="54808574">
            <w:pPr>
              <w:ind w:right="-340" w:rightChars="-162" w:firstLine="240" w:firstLineChars="100"/>
              <w:jc w:val="both"/>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3.8</w:t>
            </w:r>
          </w:p>
        </w:tc>
        <w:tc>
          <w:tcPr>
            <w:tcW w:w="4538" w:type="pct"/>
            <w:gridSpan w:val="2"/>
            <w:shd w:val="clear" w:color="auto" w:fill="auto"/>
            <w:vAlign w:val="top"/>
          </w:tcPr>
          <w:p w14:paraId="687CA0B4">
            <w:pPr>
              <w:ind w:right="-340" w:rightChars="-162"/>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宋体" w:hAnsi="宋体" w:eastAsia="宋体" w:cs="宋体"/>
                <w:bCs/>
                <w:kern w:val="2"/>
                <w:sz w:val="24"/>
                <w:szCs w:val="24"/>
                <w:lang w:val="en-US" w:eastAsia="zh-CN" w:bidi="ar-SA"/>
              </w:rPr>
              <w:t>消毒盒3个</w:t>
            </w:r>
          </w:p>
        </w:tc>
      </w:tr>
      <w:tr w14:paraId="1E6C2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5274B0B0">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3.9</w:t>
            </w:r>
          </w:p>
        </w:tc>
        <w:tc>
          <w:tcPr>
            <w:tcW w:w="4538" w:type="pct"/>
            <w:gridSpan w:val="2"/>
            <w:shd w:val="clear" w:color="auto" w:fill="auto"/>
            <w:vAlign w:val="top"/>
          </w:tcPr>
          <w:p w14:paraId="069DB544">
            <w:pPr>
              <w:ind w:right="-340" w:rightChars="-162"/>
              <w:rPr>
                <w:rFonts w:hint="eastAsia"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二开锯片6片</w:t>
            </w:r>
          </w:p>
        </w:tc>
      </w:tr>
      <w:tr w14:paraId="3689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2E042530">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四</w:t>
            </w:r>
          </w:p>
        </w:tc>
        <w:tc>
          <w:tcPr>
            <w:tcW w:w="4538" w:type="pct"/>
            <w:gridSpan w:val="2"/>
            <w:vAlign w:val="top"/>
          </w:tcPr>
          <w:p w14:paraId="6B5D1721">
            <w:pPr>
              <w:ind w:right="-340" w:rightChars="-162"/>
              <w:jc w:val="center"/>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bCs w:val="0"/>
                <w:color w:val="auto"/>
                <w:kern w:val="2"/>
                <w:sz w:val="24"/>
                <w:szCs w:val="24"/>
                <w:vertAlign w:val="baseline"/>
                <w:lang w:val="en-US" w:eastAsia="zh-CN" w:bidi="ar-SA"/>
              </w:rPr>
              <w:t>售后服务要求</w:t>
            </w:r>
          </w:p>
        </w:tc>
      </w:tr>
      <w:tr w14:paraId="2276B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45C72A73">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4.1</w:t>
            </w:r>
          </w:p>
        </w:tc>
        <w:tc>
          <w:tcPr>
            <w:tcW w:w="4538" w:type="pct"/>
            <w:gridSpan w:val="2"/>
            <w:vAlign w:val="top"/>
          </w:tcPr>
          <w:p w14:paraId="4BF3B875">
            <w:pPr>
              <w:ind w:right="-340" w:rightChars="-162"/>
              <w:jc w:val="both"/>
              <w:rPr>
                <w:rFonts w:hint="default" w:asciiTheme="majorEastAsia" w:hAnsiTheme="majorEastAsia" w:eastAsiaTheme="majorEastAsia" w:cstheme="minorBidi"/>
                <w:b/>
                <w:bCs w:val="0"/>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 xml:space="preserve">原厂质保期不少于（ 5 ）年                           </w:t>
            </w:r>
          </w:p>
        </w:tc>
      </w:tr>
      <w:tr w14:paraId="18905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4ECF50F2">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4.2</w:t>
            </w:r>
          </w:p>
        </w:tc>
        <w:tc>
          <w:tcPr>
            <w:tcW w:w="4538" w:type="pct"/>
            <w:gridSpan w:val="2"/>
            <w:vAlign w:val="top"/>
          </w:tcPr>
          <w:p w14:paraId="04657750">
            <w:pPr>
              <w:ind w:right="42" w:rightChars="20"/>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宋体" w:hAnsi="宋体" w:eastAsia="宋体" w:cs="宋体"/>
                <w:sz w:val="24"/>
                <w:szCs w:val="24"/>
                <w:lang w:val="en-US" w:eastAsia="zh-CN"/>
              </w:rPr>
              <w:t>大型设备（单价≥10万元）、特种设备、强制计量设备、急救及生命支持类设备、院感及生物安全相关设备等，验收时需提供</w:t>
            </w:r>
            <w:r>
              <w:rPr>
                <w:rFonts w:hint="eastAsia" w:ascii="宋体" w:hAnsi="宋体" w:eastAsia="宋体" w:cs="宋体"/>
                <w:sz w:val="24"/>
                <w:szCs w:val="24"/>
                <w:highlight w:val="none"/>
                <w:lang w:val="en-US" w:eastAsia="zh-CN"/>
              </w:rPr>
              <w:t>经采购人认可的且具有资质的检测机构出具的</w:t>
            </w:r>
            <w:r>
              <w:rPr>
                <w:rFonts w:hint="eastAsia" w:ascii="宋体" w:hAnsi="宋体" w:eastAsia="宋体" w:cs="宋体"/>
                <w:sz w:val="24"/>
                <w:szCs w:val="24"/>
                <w:lang w:val="en-US" w:eastAsia="zh-CN"/>
              </w:rPr>
              <w:t>检测合格报告，相关费用包含在投标总价中</w:t>
            </w:r>
          </w:p>
        </w:tc>
      </w:tr>
      <w:tr w14:paraId="0EA7E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7D928CE4">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4.3</w:t>
            </w:r>
          </w:p>
        </w:tc>
        <w:tc>
          <w:tcPr>
            <w:tcW w:w="4538" w:type="pct"/>
            <w:gridSpan w:val="2"/>
            <w:vAlign w:val="top"/>
          </w:tcPr>
          <w:p w14:paraId="46580406">
            <w:pPr>
              <w:ind w:right="42" w:rightChars="20"/>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宋体" w:hAnsi="宋体" w:eastAsia="宋体" w:cs="宋体"/>
                <w:sz w:val="24"/>
                <w:szCs w:val="24"/>
                <w:lang w:val="en-US" w:eastAsia="zh-CN"/>
              </w:rPr>
              <w:t>设备实现与院内信息系统（如HIS、LIS、PACS等）的无缝对接，接入方案要求支持标准数据接口（如HL7、DICOM），并提供开放API文档，确保兼容性与数据互通</w:t>
            </w:r>
            <w:r>
              <w:rPr>
                <w:rFonts w:hint="eastAsia" w:ascii="宋体" w:hAnsi="宋体" w:eastAsia="宋体" w:cs="宋体"/>
                <w:sz w:val="24"/>
                <w:szCs w:val="24"/>
                <w:highlight w:val="none"/>
                <w:lang w:val="en-US" w:eastAsia="zh-CN"/>
              </w:rPr>
              <w:t>，同时，设备需支持远程监控与维护功能</w:t>
            </w:r>
            <w:r>
              <w:rPr>
                <w:rFonts w:hint="eastAsia" w:ascii="宋体" w:hAnsi="宋体" w:eastAsia="宋体" w:cs="宋体"/>
                <w:sz w:val="24"/>
                <w:szCs w:val="24"/>
                <w:lang w:val="en-US" w:eastAsia="zh-CN"/>
              </w:rPr>
              <w:t>，具备良好的扩展性以满足后续升级需求；提供对接方案；若设备有信息系统接口，全部免费开放。（如需）</w:t>
            </w:r>
          </w:p>
        </w:tc>
      </w:tr>
      <w:tr w14:paraId="1B020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53123463">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4.4</w:t>
            </w:r>
          </w:p>
        </w:tc>
        <w:tc>
          <w:tcPr>
            <w:tcW w:w="4538" w:type="pct"/>
            <w:gridSpan w:val="2"/>
            <w:vAlign w:val="top"/>
          </w:tcPr>
          <w:p w14:paraId="5A02B1D8">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其他：</w:t>
            </w:r>
          </w:p>
        </w:tc>
      </w:tr>
      <w:tr w14:paraId="5F987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5037FEA7">
            <w:pPr>
              <w:ind w:right="-340" w:rightChars="-162" w:firstLine="241"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bCs w:val="0"/>
                <w:sz w:val="24"/>
                <w:szCs w:val="24"/>
                <w:vertAlign w:val="baseline"/>
                <w:lang w:val="en-US" w:eastAsia="zh-CN"/>
              </w:rPr>
              <w:t>五</w:t>
            </w:r>
          </w:p>
        </w:tc>
        <w:tc>
          <w:tcPr>
            <w:tcW w:w="4538" w:type="pct"/>
            <w:gridSpan w:val="2"/>
            <w:vAlign w:val="top"/>
          </w:tcPr>
          <w:p w14:paraId="64E64671">
            <w:pPr>
              <w:ind w:right="-340" w:rightChars="-162"/>
              <w:jc w:val="center"/>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bCs w:val="0"/>
                <w:color w:val="auto"/>
                <w:kern w:val="2"/>
                <w:sz w:val="24"/>
                <w:szCs w:val="24"/>
                <w:vertAlign w:val="baseline"/>
                <w:lang w:val="en-US" w:eastAsia="zh-CN" w:bidi="ar-SA"/>
              </w:rPr>
              <w:t>付款方式</w:t>
            </w:r>
          </w:p>
        </w:tc>
      </w:tr>
      <w:tr w14:paraId="650F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2354FE35">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5.1</w:t>
            </w:r>
          </w:p>
        </w:tc>
        <w:tc>
          <w:tcPr>
            <w:tcW w:w="4538" w:type="pct"/>
            <w:gridSpan w:val="2"/>
            <w:vAlign w:val="top"/>
          </w:tcPr>
          <w:p w14:paraId="13378BFA">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货物类</w:t>
            </w:r>
          </w:p>
        </w:tc>
      </w:tr>
      <w:tr w14:paraId="4F309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6ED30C18">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5.1.1</w:t>
            </w:r>
          </w:p>
        </w:tc>
        <w:tc>
          <w:tcPr>
            <w:tcW w:w="4538" w:type="pct"/>
            <w:gridSpan w:val="2"/>
            <w:vAlign w:val="top"/>
          </w:tcPr>
          <w:p w14:paraId="0B5BA053">
            <w:pPr>
              <w:ind w:right="-340" w:rightChars="-162"/>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预付款金额为合同款金额的40%。合同生效且项目具备实施条件后支付预付款；项目验收合格后</w:t>
            </w:r>
          </w:p>
          <w:p w14:paraId="70981EE9">
            <w:pPr>
              <w:ind w:right="-340" w:rightChars="-162"/>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付清余款。（适用中小企业投标）；</w:t>
            </w:r>
          </w:p>
        </w:tc>
      </w:tr>
      <w:tr w14:paraId="0BE5F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4D46A965">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5.1.2</w:t>
            </w:r>
          </w:p>
        </w:tc>
        <w:tc>
          <w:tcPr>
            <w:tcW w:w="4538" w:type="pct"/>
            <w:gridSpan w:val="2"/>
            <w:vAlign w:val="top"/>
          </w:tcPr>
          <w:p w14:paraId="498FF44D">
            <w:pPr>
              <w:ind w:right="-340" w:rightChars="-162"/>
              <w:jc w:val="both"/>
              <w:rPr>
                <w:rFonts w:hint="eastAsia"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项目验收合格后付全款；（适用大型企业投标）</w:t>
            </w:r>
          </w:p>
        </w:tc>
      </w:tr>
      <w:tr w14:paraId="6BB69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13BD4642">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5.2</w:t>
            </w:r>
          </w:p>
        </w:tc>
        <w:tc>
          <w:tcPr>
            <w:tcW w:w="4538" w:type="pct"/>
            <w:gridSpan w:val="2"/>
            <w:vAlign w:val="top"/>
          </w:tcPr>
          <w:p w14:paraId="177E73B8">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服务类</w:t>
            </w:r>
          </w:p>
        </w:tc>
      </w:tr>
      <w:tr w14:paraId="071CA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61" w:type="pct"/>
            <w:vAlign w:val="top"/>
          </w:tcPr>
          <w:p w14:paraId="6494F066">
            <w:pPr>
              <w:ind w:right="-340" w:rightChars="-162" w:firstLine="240" w:firstLineChars="100"/>
              <w:jc w:val="both"/>
              <w:rPr>
                <w:rFonts w:hint="default" w:asciiTheme="majorEastAsia" w:hAnsiTheme="majorEastAsia" w:eastAsiaTheme="majorEastAsia"/>
                <w:b w:val="0"/>
                <w:bCs/>
                <w:sz w:val="24"/>
                <w:szCs w:val="24"/>
                <w:vertAlign w:val="baseline"/>
                <w:lang w:val="en-US" w:eastAsia="zh-CN"/>
              </w:rPr>
            </w:pPr>
            <w:r>
              <w:rPr>
                <w:rFonts w:hint="eastAsia" w:asciiTheme="majorEastAsia" w:hAnsiTheme="majorEastAsia" w:eastAsiaTheme="majorEastAsia"/>
                <w:b w:val="0"/>
                <w:bCs/>
                <w:sz w:val="24"/>
                <w:szCs w:val="24"/>
                <w:vertAlign w:val="baseline"/>
                <w:lang w:val="en-US" w:eastAsia="zh-CN"/>
              </w:rPr>
              <w:t>5.2.1</w:t>
            </w:r>
          </w:p>
        </w:tc>
        <w:tc>
          <w:tcPr>
            <w:tcW w:w="4538" w:type="pct"/>
            <w:gridSpan w:val="2"/>
            <w:vAlign w:val="top"/>
          </w:tcPr>
          <w:p w14:paraId="640738F2">
            <w:pPr>
              <w:ind w:right="-340" w:rightChars="-162"/>
              <w:jc w:val="both"/>
              <w:rPr>
                <w:rFonts w:hint="default" w:asciiTheme="majorEastAsia" w:hAnsiTheme="majorEastAsia" w:eastAsiaTheme="majorEastAsia" w:cstheme="minorBidi"/>
                <w:b w:val="0"/>
                <w:bCs/>
                <w:color w:val="auto"/>
                <w:kern w:val="2"/>
                <w:sz w:val="24"/>
                <w:szCs w:val="24"/>
                <w:vertAlign w:val="baseline"/>
                <w:lang w:val="en-US" w:eastAsia="zh-CN" w:bidi="ar-SA"/>
              </w:rPr>
            </w:pPr>
            <w:r>
              <w:rPr>
                <w:rFonts w:hint="eastAsia" w:asciiTheme="majorEastAsia" w:hAnsiTheme="majorEastAsia" w:eastAsiaTheme="majorEastAsia" w:cstheme="minorBidi"/>
                <w:b w:val="0"/>
                <w:bCs/>
                <w:color w:val="auto"/>
                <w:kern w:val="2"/>
                <w:sz w:val="24"/>
                <w:szCs w:val="24"/>
                <w:vertAlign w:val="baseline"/>
                <w:lang w:val="en-US" w:eastAsia="zh-CN" w:bidi="ar-SA"/>
              </w:rPr>
              <w:t>预付款金额不超过合同总金额的40%，合同生效后支付预付款；余款在不违反相关采购规定的情况下，由双方协商决定；</w:t>
            </w:r>
          </w:p>
        </w:tc>
      </w:tr>
    </w:tbl>
    <w:p w14:paraId="0AA3D1EC">
      <w:pPr>
        <w:spacing w:line="360" w:lineRule="auto"/>
        <w:rPr>
          <w:rFonts w:hint="default" w:eastAsiaTheme="minorEastAsia"/>
          <w:sz w:val="24"/>
          <w:szCs w:val="24"/>
          <w:u w:val="single"/>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6CC6306"/>
    <w:rsid w:val="07866B35"/>
    <w:rsid w:val="07A70F85"/>
    <w:rsid w:val="099077F7"/>
    <w:rsid w:val="0A92679B"/>
    <w:rsid w:val="0B876571"/>
    <w:rsid w:val="0F2C1D70"/>
    <w:rsid w:val="10477E7E"/>
    <w:rsid w:val="14A63167"/>
    <w:rsid w:val="15266B2A"/>
    <w:rsid w:val="176A68CB"/>
    <w:rsid w:val="1ADC4941"/>
    <w:rsid w:val="1DDE495B"/>
    <w:rsid w:val="208E5D79"/>
    <w:rsid w:val="24303C58"/>
    <w:rsid w:val="249F787F"/>
    <w:rsid w:val="26651C51"/>
    <w:rsid w:val="28331C1B"/>
    <w:rsid w:val="29E027E0"/>
    <w:rsid w:val="2BF66A14"/>
    <w:rsid w:val="2EE34571"/>
    <w:rsid w:val="301D017F"/>
    <w:rsid w:val="30572F78"/>
    <w:rsid w:val="34480AEF"/>
    <w:rsid w:val="38A03D8B"/>
    <w:rsid w:val="397F500E"/>
    <w:rsid w:val="40000B87"/>
    <w:rsid w:val="4207575F"/>
    <w:rsid w:val="424E7EB4"/>
    <w:rsid w:val="443B2CEC"/>
    <w:rsid w:val="44C578EC"/>
    <w:rsid w:val="48AE2506"/>
    <w:rsid w:val="4947674B"/>
    <w:rsid w:val="4A946440"/>
    <w:rsid w:val="4AFB588F"/>
    <w:rsid w:val="4F361873"/>
    <w:rsid w:val="5118618C"/>
    <w:rsid w:val="51330A9E"/>
    <w:rsid w:val="51D0666D"/>
    <w:rsid w:val="51F51739"/>
    <w:rsid w:val="573E096B"/>
    <w:rsid w:val="59CE33A8"/>
    <w:rsid w:val="5A6076D7"/>
    <w:rsid w:val="5BB87046"/>
    <w:rsid w:val="5C58551F"/>
    <w:rsid w:val="5F7056A6"/>
    <w:rsid w:val="61386D43"/>
    <w:rsid w:val="643038C5"/>
    <w:rsid w:val="663336A5"/>
    <w:rsid w:val="669C0E9A"/>
    <w:rsid w:val="66D23DE2"/>
    <w:rsid w:val="67212ADF"/>
    <w:rsid w:val="69DB0917"/>
    <w:rsid w:val="6E873EA7"/>
    <w:rsid w:val="70326D5C"/>
    <w:rsid w:val="72901CD2"/>
    <w:rsid w:val="73691968"/>
    <w:rsid w:val="7B041BFA"/>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1246</Words>
  <Characters>1449</Characters>
  <Lines>0</Lines>
  <Paragraphs>0</Paragraphs>
  <TotalTime>16</TotalTime>
  <ScaleCrop>false</ScaleCrop>
  <LinksUpToDate>false</LinksUpToDate>
  <CharactersWithSpaces>1484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2023-10-19T02:31:00Z</dcterms:created>
  <dc:creator>蚂蚁</dc:creator>
  <cp:lastModifiedBy>Nicole</cp:lastModifiedBy>
  <dcterms:modified xsi:type="dcterms:W3CDTF">2025-10-20T02:41:38Z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6F49F43E19D24AC0BFC2CBED02AB3631_13</vt:lpwstr>
  </property>
  <property fmtid="{D5CDD505-2E9C-101B-9397-08002B2CF9AE}" pid="4" name="KSOTemplateDocerSaveRecord">
    <vt:lpwstr>eyJoZGlkIjoiMTAxZTlhZjVlOTUwMjk0MjVkODJkNThhOWFkYzQzYjciLCJ1c2VySWQiOiIyNTE3NjAwMzYifQ==</vt:lpwstr>
  </property>
</Properties>
</file>