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0"/>
        <w:gridCol w:w="1765"/>
        <w:gridCol w:w="8376"/>
      </w:tblGrid>
      <w:tr w14:paraId="73469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3"/>
          </w:tcPr>
          <w:p w14:paraId="286D3A1C">
            <w:pPr>
              <w:ind w:right="-932" w:rightChars="-444"/>
              <w:jc w:val="center"/>
              <w:rPr>
                <w:rFonts w:hint="default" w:asciiTheme="majorEastAsia" w:hAnsiTheme="majorEastAsia" w:eastAsiaTheme="min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32"/>
                <w:szCs w:val="32"/>
              </w:rPr>
              <w:t>浙江大学附属儿童医院（医疗）设备</w:t>
            </w:r>
            <w:r>
              <w:rPr>
                <w:rFonts w:hint="eastAsia" w:ascii="宋体" w:hAnsi="宋体"/>
                <w:b/>
                <w:color w:val="000000"/>
                <w:sz w:val="32"/>
                <w:szCs w:val="32"/>
                <w:lang w:val="en-US" w:eastAsia="zh-CN"/>
              </w:rPr>
              <w:t>需求确认表</w:t>
            </w:r>
          </w:p>
        </w:tc>
      </w:tr>
      <w:tr w14:paraId="5FB03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51" w:type="pct"/>
            <w:gridSpan w:val="2"/>
          </w:tcPr>
          <w:p w14:paraId="097EEF5A">
            <w:pPr>
              <w:ind w:right="-340" w:rightChars="-162" w:firstLine="562" w:firstLineChars="200"/>
              <w:jc w:val="both"/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项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目名称</w:t>
            </w:r>
          </w:p>
        </w:tc>
        <w:tc>
          <w:tcPr>
            <w:tcW w:w="3748" w:type="pct"/>
          </w:tcPr>
          <w:p w14:paraId="604E4495">
            <w:pPr>
              <w:jc w:val="center"/>
              <w:rPr>
                <w:rFonts w:hint="eastAsia" w:ascii="宋体" w:hAnsi="宋体" w:eastAsia="宋体" w:cs="宋体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8"/>
                <w:szCs w:val="28"/>
              </w:rPr>
              <w:t>解剖镜</w:t>
            </w:r>
            <w:r>
              <w:rPr>
                <w:rFonts w:hint="eastAsia" w:ascii="宋体" w:hAnsi="宋体" w:eastAsia="宋体" w:cs="宋体"/>
                <w:b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sz w:val="28"/>
                <w:szCs w:val="28"/>
                <w:lang w:val="en-US" w:eastAsia="zh-CN"/>
              </w:rPr>
              <w:t>动物中心显微操作系统相关设备III</w:t>
            </w:r>
            <w:r>
              <w:rPr>
                <w:rFonts w:hint="eastAsia" w:ascii="宋体" w:hAnsi="宋体" w:eastAsia="宋体" w:cs="宋体"/>
                <w:b/>
                <w:sz w:val="28"/>
                <w:szCs w:val="28"/>
                <w:lang w:eastAsia="zh-CN"/>
              </w:rPr>
              <w:t>）</w:t>
            </w:r>
          </w:p>
        </w:tc>
      </w:tr>
      <w:tr w14:paraId="4730B4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51" w:type="pct"/>
            <w:gridSpan w:val="2"/>
          </w:tcPr>
          <w:p w14:paraId="20CCD9DC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hint="default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使用科室</w:t>
            </w:r>
          </w:p>
        </w:tc>
        <w:tc>
          <w:tcPr>
            <w:tcW w:w="3748" w:type="pct"/>
            <w:shd w:val="clear" w:color="auto" w:fill="auto"/>
            <w:vAlign w:val="top"/>
          </w:tcPr>
          <w:p w14:paraId="258C7316">
            <w:pPr>
              <w:ind w:firstLine="3373" w:firstLineChars="1200"/>
              <w:jc w:val="both"/>
              <w:rPr>
                <w:rFonts w:hint="eastAsia" w:ascii="宋体" w:hAnsi="宋体" w:eastAsia="宋体" w:cs="宋体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sz w:val="28"/>
                <w:szCs w:val="28"/>
              </w:rPr>
              <w:t>国家中心</w:t>
            </w:r>
          </w:p>
        </w:tc>
      </w:tr>
      <w:tr w14:paraId="4F21E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A8E589D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4538" w:type="pct"/>
            <w:gridSpan w:val="2"/>
          </w:tcPr>
          <w:p w14:paraId="77692B76">
            <w:pPr>
              <w:ind w:right="-340" w:rightChars="-162"/>
              <w:jc w:val="center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基本要求</w:t>
            </w:r>
          </w:p>
        </w:tc>
      </w:tr>
      <w:tr w14:paraId="7A0D3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6D0B167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1.1</w:t>
            </w:r>
          </w:p>
        </w:tc>
        <w:tc>
          <w:tcPr>
            <w:tcW w:w="4538" w:type="pct"/>
            <w:gridSpan w:val="2"/>
          </w:tcPr>
          <w:p w14:paraId="4EE1190C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数量：1套</w:t>
            </w:r>
          </w:p>
        </w:tc>
      </w:tr>
      <w:tr w14:paraId="4BAC68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19D3801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1.2</w:t>
            </w:r>
          </w:p>
        </w:tc>
        <w:tc>
          <w:tcPr>
            <w:tcW w:w="4538" w:type="pct"/>
            <w:gridSpan w:val="2"/>
          </w:tcPr>
          <w:p w14:paraId="560F2F85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用途：用来观察三维立体实物样本。</w:t>
            </w:r>
          </w:p>
        </w:tc>
      </w:tr>
      <w:tr w14:paraId="10D57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25D3362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二</w:t>
            </w:r>
          </w:p>
        </w:tc>
        <w:tc>
          <w:tcPr>
            <w:tcW w:w="4538" w:type="pct"/>
            <w:gridSpan w:val="2"/>
          </w:tcPr>
          <w:p w14:paraId="1A5625CB">
            <w:pPr>
              <w:ind w:right="-340" w:rightChars="-162"/>
              <w:jc w:val="center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主要功能及参数</w:t>
            </w:r>
          </w:p>
        </w:tc>
      </w:tr>
      <w:tr w14:paraId="3DFC2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2E962ACC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4A0C0721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目镜倍数：10X大视野平场目镜，视场直径≥φ22mm；</w:t>
            </w:r>
          </w:p>
        </w:tc>
      </w:tr>
      <w:tr w14:paraId="4C4E3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A32453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2.2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018EB3C9">
            <w:pP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物镜倍数：0.6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X-4.5X物镜变倍比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≥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1:6.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；</w:t>
            </w:r>
          </w:p>
        </w:tc>
      </w:tr>
      <w:tr w14:paraId="46B08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609654EA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2.3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3C1A3A3A">
            <w:pP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双目观察头，瞳距：55-7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mm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  <w:t>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视度调节：±5屈光度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  <w:t>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倾斜≥45°，旋转360°；</w:t>
            </w:r>
          </w:p>
        </w:tc>
      </w:tr>
      <w:tr w14:paraId="17D31B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54BC6E0E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2.4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1E253A5A">
            <w:pP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视场范围：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mm-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mm；</w:t>
            </w:r>
          </w:p>
        </w:tc>
      </w:tr>
      <w:tr w14:paraId="38BF30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12D85C3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2.5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371F0D4D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总放大倍数：6.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X-45X(10X目镜）；</w:t>
            </w:r>
          </w:p>
        </w:tc>
      </w:tr>
      <w:tr w14:paraId="052AB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21081CD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2.6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30D8AE85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调焦机构：调焦手轮松紧可调，工作距离：10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mm(10X目镜）-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mm(10X目镜+0.5X辅助镜）；</w:t>
            </w:r>
          </w:p>
        </w:tc>
      </w:tr>
      <w:tr w14:paraId="36F520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DA404F5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2.7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79E8B3FE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LED双光纤冷光源</w:t>
            </w:r>
          </w:p>
        </w:tc>
      </w:tr>
      <w:tr w14:paraId="5AB278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034CCBF9">
            <w:pPr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2.7.1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43CC8090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可用于显微镜侧照明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体视显微镜照明等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进行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精细操作，如脑立体定位、脑卒中模型等精细手术造模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</w:tc>
      </w:tr>
      <w:tr w14:paraId="7E8D17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061EB4F0">
            <w:pPr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2.7.2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7E54EB38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LED 专业恒流驱动芯片，调光性好，无色温漂移；</w:t>
            </w:r>
          </w:p>
        </w:tc>
      </w:tr>
      <w:tr w14:paraId="169B1A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34852853">
            <w:pPr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2.7.3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1A9AB650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静音散热风扇，保证 LED 长期运行可靠；</w:t>
            </w:r>
          </w:p>
        </w:tc>
      </w:tr>
      <w:tr w14:paraId="4A72B8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1814243E">
            <w:pPr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2.7.4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5249CBEA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光源：高功率 LED 白光，功率≥20W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光照强度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＜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80Lm；</w:t>
            </w:r>
          </w:p>
        </w:tc>
      </w:tr>
      <w:tr w14:paraId="43D429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36BD3A0D">
            <w:pPr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2.7.5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743BC043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色温5500±500K ，显色指数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＞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80%；</w:t>
            </w:r>
          </w:p>
        </w:tc>
      </w:tr>
      <w:tr w14:paraId="2C2E39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6A46C651">
            <w:pPr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2.7.6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2B64652C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LED 衰退周期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≥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20000h；</w:t>
            </w:r>
          </w:p>
        </w:tc>
      </w:tr>
      <w:tr w14:paraId="2EFAEC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226B21C7">
            <w:pPr>
              <w:jc w:val="both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2.7.7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776F3E74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运行噪音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＜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55dB；</w:t>
            </w:r>
          </w:p>
        </w:tc>
      </w:tr>
      <w:tr w14:paraId="37180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597DB244">
            <w:pPr>
              <w:jc w:val="both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2.8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15467EE8">
            <w:pP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热玻璃珠灭菌器</w:t>
            </w:r>
          </w:p>
        </w:tc>
      </w:tr>
      <w:tr w14:paraId="2CC3D9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774E8EAB">
            <w:pPr>
              <w:jc w:val="both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2.8.1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209DA7E7">
            <w:pP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灭菌器容量（直径*深度）≥40mm*80mm；</w:t>
            </w:r>
          </w:p>
        </w:tc>
      </w:tr>
      <w:tr w14:paraId="0F57C4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5B9D99D1">
            <w:pPr>
              <w:jc w:val="both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2.8.2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4EA39188">
            <w:pP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玻璃珠容量≥300g；</w:t>
            </w:r>
          </w:p>
        </w:tc>
      </w:tr>
      <w:tr w14:paraId="79F55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612263B6">
            <w:pPr>
              <w:jc w:val="both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2.8.3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6FA2445D">
            <w:pP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设定温度范围：100℃-300℃；</w:t>
            </w:r>
          </w:p>
        </w:tc>
      </w:tr>
      <w:tr w14:paraId="39FC07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0F8D966A">
            <w:pPr>
              <w:jc w:val="both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2.8.4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34624D87">
            <w:pP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灭菌时间：≤5s；</w:t>
            </w:r>
          </w:p>
        </w:tc>
      </w:tr>
      <w:tr w14:paraId="0BE3F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15CC23CD">
            <w:pPr>
              <w:jc w:val="both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2.8.5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3D36C42D">
            <w:pP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控温精度：≤±5℃；</w:t>
            </w:r>
          </w:p>
        </w:tc>
      </w:tr>
      <w:tr w14:paraId="758AFB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3C32938B">
            <w:pPr>
              <w:jc w:val="both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2.8.6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404CF2C1">
            <w:pP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升高到最高温度所需时间：≤25min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</w:tc>
      </w:tr>
      <w:tr w14:paraId="6D9D0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vAlign w:val="top"/>
          </w:tcPr>
          <w:p w14:paraId="4FF3356E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三</w:t>
            </w:r>
          </w:p>
        </w:tc>
        <w:tc>
          <w:tcPr>
            <w:tcW w:w="4538" w:type="pct"/>
            <w:gridSpan w:val="2"/>
            <w:vAlign w:val="top"/>
          </w:tcPr>
          <w:p w14:paraId="0D8894C6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主要配置及附件</w:t>
            </w:r>
          </w:p>
        </w:tc>
      </w:tr>
      <w:tr w14:paraId="7FCCE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0873099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3.1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12F10FAB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体视显微镜主体1套</w:t>
            </w:r>
          </w:p>
        </w:tc>
      </w:tr>
      <w:tr w14:paraId="40322D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0F11C9A9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3.2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29DA0032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LED冷光源主机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套，双支光纤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套</w:t>
            </w:r>
          </w:p>
        </w:tc>
      </w:tr>
      <w:tr w14:paraId="2EEB22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C77BC8C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3.3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34AD9572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玻璃珠灭菌器主机1套，干玻璃珠1袋</w:t>
            </w:r>
          </w:p>
        </w:tc>
      </w:tr>
      <w:tr w14:paraId="36891B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2E042530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四</w:t>
            </w:r>
          </w:p>
        </w:tc>
        <w:tc>
          <w:tcPr>
            <w:tcW w:w="4538" w:type="pct"/>
            <w:gridSpan w:val="2"/>
            <w:vAlign w:val="top"/>
          </w:tcPr>
          <w:p w14:paraId="6B5D1721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售后服务要求</w:t>
            </w:r>
          </w:p>
        </w:tc>
      </w:tr>
      <w:tr w14:paraId="2276B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5C72A73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4.1</w:t>
            </w:r>
          </w:p>
        </w:tc>
        <w:tc>
          <w:tcPr>
            <w:tcW w:w="4538" w:type="pct"/>
            <w:gridSpan w:val="2"/>
            <w:vAlign w:val="top"/>
          </w:tcPr>
          <w:p w14:paraId="4BF3B875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原厂质保期不少于（ 5 ）年                           </w:t>
            </w:r>
          </w:p>
        </w:tc>
      </w:tr>
      <w:tr w14:paraId="18905C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ECF50F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4.2</w:t>
            </w:r>
          </w:p>
        </w:tc>
        <w:tc>
          <w:tcPr>
            <w:tcW w:w="4538" w:type="pct"/>
            <w:gridSpan w:val="2"/>
            <w:vAlign w:val="top"/>
          </w:tcPr>
          <w:p w14:paraId="04657750">
            <w:pPr>
              <w:ind w:right="42" w:rightChars="2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大型设备（单价≥10万元）、特种设备、强制计量设备、急救及生命支持类设备、院感及生物安全相关设备等，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供应商应根据要求负责设备检测，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验收时需提供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经采购人认可的且具有资质的检测机构出具的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检测合格报告</w:t>
            </w:r>
          </w:p>
        </w:tc>
      </w:tr>
      <w:tr w14:paraId="0EA7E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7D928CE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4.3</w:t>
            </w:r>
          </w:p>
        </w:tc>
        <w:tc>
          <w:tcPr>
            <w:tcW w:w="4538" w:type="pct"/>
            <w:gridSpan w:val="2"/>
            <w:vAlign w:val="top"/>
          </w:tcPr>
          <w:p w14:paraId="46580406">
            <w:pPr>
              <w:ind w:right="42" w:rightChars="2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设备实现与院内信息系统（如HIS、LIS、PACS等）的无缝对接，接入方案要求支持标准数据接口（如HL7、DICOM），并提供开放API文档，确保兼容性与数据互通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，同时，设备需支持远程监控与维护功能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，具备良好的扩展性以满足后续升级需求；提供对接方案；若设备有信息系统接口，全部免费开放（如需）</w:t>
            </w:r>
          </w:p>
        </w:tc>
      </w:tr>
      <w:tr w14:paraId="1B0202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53123463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4.4</w:t>
            </w:r>
          </w:p>
        </w:tc>
        <w:tc>
          <w:tcPr>
            <w:tcW w:w="4538" w:type="pct"/>
            <w:gridSpan w:val="2"/>
            <w:vAlign w:val="top"/>
          </w:tcPr>
          <w:p w14:paraId="5A02B1D8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其他：</w:t>
            </w:r>
          </w:p>
        </w:tc>
      </w:tr>
      <w:tr w14:paraId="5F987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5037FEA7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五</w:t>
            </w:r>
          </w:p>
        </w:tc>
        <w:tc>
          <w:tcPr>
            <w:tcW w:w="4538" w:type="pct"/>
            <w:gridSpan w:val="2"/>
            <w:vAlign w:val="top"/>
          </w:tcPr>
          <w:p w14:paraId="64E64671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付款方式</w:t>
            </w:r>
          </w:p>
        </w:tc>
      </w:tr>
      <w:tr w14:paraId="650F8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2354FE35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</w:t>
            </w:r>
          </w:p>
        </w:tc>
        <w:tc>
          <w:tcPr>
            <w:tcW w:w="4538" w:type="pct"/>
            <w:gridSpan w:val="2"/>
            <w:vAlign w:val="top"/>
          </w:tcPr>
          <w:p w14:paraId="13378BFA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货物类</w:t>
            </w:r>
          </w:p>
        </w:tc>
      </w:tr>
      <w:tr w14:paraId="4F309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6ED30C18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5.1.1</w:t>
            </w:r>
          </w:p>
        </w:tc>
        <w:tc>
          <w:tcPr>
            <w:tcW w:w="4538" w:type="pct"/>
            <w:gridSpan w:val="2"/>
            <w:vAlign w:val="top"/>
          </w:tcPr>
          <w:p w14:paraId="0B5BA053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预付款金额为合同款金额的40%。合同生效且项目具备实施条件后支付预付款；项目验收合格后</w:t>
            </w:r>
          </w:p>
          <w:p w14:paraId="70981EE9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付清余款。（适用中小企业投标）；</w:t>
            </w:r>
          </w:p>
        </w:tc>
      </w:tr>
      <w:tr w14:paraId="0BE5FE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D46A965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5.1.2</w:t>
            </w:r>
          </w:p>
        </w:tc>
        <w:tc>
          <w:tcPr>
            <w:tcW w:w="4538" w:type="pct"/>
            <w:gridSpan w:val="2"/>
            <w:vAlign w:val="top"/>
          </w:tcPr>
          <w:p w14:paraId="498FF44D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项目验收合格后付全款；（适用大型企业投标）</w:t>
            </w:r>
          </w:p>
        </w:tc>
      </w:tr>
      <w:tr w14:paraId="6BB69B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13BD464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5.2</w:t>
            </w:r>
          </w:p>
        </w:tc>
        <w:tc>
          <w:tcPr>
            <w:tcW w:w="4538" w:type="pct"/>
            <w:gridSpan w:val="2"/>
            <w:vAlign w:val="top"/>
          </w:tcPr>
          <w:p w14:paraId="177E73B8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服务类</w:t>
            </w:r>
          </w:p>
        </w:tc>
      </w:tr>
      <w:tr w14:paraId="071CA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6494F066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5.2.1</w:t>
            </w:r>
          </w:p>
        </w:tc>
        <w:tc>
          <w:tcPr>
            <w:tcW w:w="4538" w:type="pct"/>
            <w:gridSpan w:val="2"/>
            <w:vAlign w:val="top"/>
          </w:tcPr>
          <w:p w14:paraId="640738F2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预付款金额不超过合同总金额的40%，合同生效后支付预付款；余款在不违反相关采购规定的情况下，由双方协商决定；</w:t>
            </w:r>
          </w:p>
        </w:tc>
      </w:tr>
      <w:tr w14:paraId="43EB2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74334E2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六</w:t>
            </w:r>
          </w:p>
        </w:tc>
        <w:tc>
          <w:tcPr>
            <w:tcW w:w="4538" w:type="pct"/>
            <w:gridSpan w:val="2"/>
            <w:vAlign w:val="top"/>
          </w:tcPr>
          <w:p w14:paraId="306C7120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配套耗材情况</w:t>
            </w:r>
          </w:p>
        </w:tc>
      </w:tr>
      <w:tr w14:paraId="141B5C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6A1EE598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6.1</w:t>
            </w:r>
          </w:p>
        </w:tc>
        <w:tc>
          <w:tcPr>
            <w:tcW w:w="4538" w:type="pct"/>
            <w:gridSpan w:val="2"/>
            <w:vAlign w:val="top"/>
          </w:tcPr>
          <w:p w14:paraId="40D800CB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无</w:t>
            </w:r>
          </w:p>
        </w:tc>
      </w:tr>
    </w:tbl>
    <w:p w14:paraId="793709C6">
      <w:pPr>
        <w:spacing w:line="360" w:lineRule="auto"/>
        <w:rPr>
          <w:rFonts w:hint="default" w:eastAsiaTheme="minorEastAsia"/>
          <w:sz w:val="24"/>
          <w:szCs w:val="24"/>
          <w:u w:val="single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37A0C10"/>
    <w:rsid w:val="03C97144"/>
    <w:rsid w:val="06CC6306"/>
    <w:rsid w:val="07A70F85"/>
    <w:rsid w:val="099077F7"/>
    <w:rsid w:val="0A92679B"/>
    <w:rsid w:val="0B876571"/>
    <w:rsid w:val="0F2C1D70"/>
    <w:rsid w:val="10477E7E"/>
    <w:rsid w:val="18602A8A"/>
    <w:rsid w:val="1ADC4941"/>
    <w:rsid w:val="1B895FBB"/>
    <w:rsid w:val="1FA96AD4"/>
    <w:rsid w:val="208E5D79"/>
    <w:rsid w:val="23AC5142"/>
    <w:rsid w:val="24303C58"/>
    <w:rsid w:val="24C841FF"/>
    <w:rsid w:val="26651C51"/>
    <w:rsid w:val="27BA4183"/>
    <w:rsid w:val="28331C1B"/>
    <w:rsid w:val="2EC72D35"/>
    <w:rsid w:val="2EE34571"/>
    <w:rsid w:val="30572F78"/>
    <w:rsid w:val="34480AEF"/>
    <w:rsid w:val="35C3492C"/>
    <w:rsid w:val="37554814"/>
    <w:rsid w:val="379D62B9"/>
    <w:rsid w:val="37D03488"/>
    <w:rsid w:val="38A03D8B"/>
    <w:rsid w:val="390D68A8"/>
    <w:rsid w:val="397F500E"/>
    <w:rsid w:val="40000B87"/>
    <w:rsid w:val="40003751"/>
    <w:rsid w:val="40786713"/>
    <w:rsid w:val="4207575F"/>
    <w:rsid w:val="443B2CEC"/>
    <w:rsid w:val="4457543C"/>
    <w:rsid w:val="44C578EC"/>
    <w:rsid w:val="45241F0A"/>
    <w:rsid w:val="4A946440"/>
    <w:rsid w:val="4AFB588F"/>
    <w:rsid w:val="4D1B1AD8"/>
    <w:rsid w:val="4F361873"/>
    <w:rsid w:val="4FCA2F37"/>
    <w:rsid w:val="5118618C"/>
    <w:rsid w:val="51D0666D"/>
    <w:rsid w:val="52DE5473"/>
    <w:rsid w:val="59CE33A8"/>
    <w:rsid w:val="5A6076D7"/>
    <w:rsid w:val="5B9B50D2"/>
    <w:rsid w:val="5BB87046"/>
    <w:rsid w:val="5F6847A5"/>
    <w:rsid w:val="5F7056A6"/>
    <w:rsid w:val="61386D43"/>
    <w:rsid w:val="635A67E8"/>
    <w:rsid w:val="65885D07"/>
    <w:rsid w:val="663336A5"/>
    <w:rsid w:val="66D23DE2"/>
    <w:rsid w:val="66EA7AAC"/>
    <w:rsid w:val="67212ADF"/>
    <w:rsid w:val="69DB0917"/>
    <w:rsid w:val="6E873EA7"/>
    <w:rsid w:val="70326D5C"/>
    <w:rsid w:val="72901CD2"/>
    <w:rsid w:val="73691968"/>
    <w:rsid w:val="74BE4825"/>
    <w:rsid w:val="75B07D22"/>
    <w:rsid w:val="7B28549C"/>
    <w:rsid w:val="7B41219D"/>
    <w:rsid w:val="7BD96243"/>
    <w:rsid w:val="7CD35966"/>
    <w:rsid w:val="7F2F1CB8"/>
    <w:rsid w:val="7FA0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1019</Words>
  <Characters>1350</Characters>
  <Lines>0</Lines>
  <Paragraphs>0</Paragraphs>
  <TotalTime>0</TotalTime>
  <ScaleCrop>false</ScaleCrop>
  <LinksUpToDate>false</LinksUpToDate>
  <CharactersWithSpaces>1396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2023-10-19T02:31:00Z</dcterms:created>
  <dc:creator>蚂蚁</dc:creator>
  <cp:lastModifiedBy>Nicole</cp:lastModifiedBy>
  <dcterms:modified xsi:type="dcterms:W3CDTF">2025-12-19T01:53:29Z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B04CC15720D8456D8C2000AC49C978D4_13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