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765"/>
        <w:gridCol w:w="8376"/>
      </w:tblGrid>
      <w:tr w14:paraId="73469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286D3A1C">
            <w:pPr>
              <w:ind w:right="-932" w:rightChars="-444"/>
              <w:jc w:val="center"/>
              <w:rPr>
                <w:rFonts w:hint="default" w:asciiTheme="majorEastAsia" w:hAnsiTheme="majorEastAsia" w:eastAsiaTheme="min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val="en-US" w:eastAsia="zh-CN"/>
              </w:rPr>
              <w:t>需求确认表</w:t>
            </w:r>
          </w:p>
        </w:tc>
      </w:tr>
      <w:tr w14:paraId="5FB03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097EEF5A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48" w:type="pct"/>
          </w:tcPr>
          <w:p w14:paraId="604E4495">
            <w:pPr>
              <w:jc w:val="center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动物行为分析系统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（动物中心行为学系统相关设备Ⅴ）</w:t>
            </w:r>
          </w:p>
        </w:tc>
      </w:tr>
      <w:tr w14:paraId="4730B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20CCD9DC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48" w:type="pct"/>
            <w:shd w:val="clear" w:color="auto" w:fill="auto"/>
            <w:vAlign w:val="top"/>
          </w:tcPr>
          <w:p w14:paraId="258C7316">
            <w:pPr>
              <w:jc w:val="center"/>
              <w:rPr>
                <w:rFonts w:hint="eastAsia" w:asciiTheme="majorEastAsia" w:hAnsiTheme="majorEastAsia" w:eastAsiaTheme="maj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asciiTheme="majorEastAsia" w:hAnsiTheme="majorEastAsia" w:eastAsiaTheme="majorEastAsia"/>
                <w:b/>
                <w:sz w:val="28"/>
                <w:szCs w:val="28"/>
              </w:rPr>
              <w:t>国家中心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莫干山院区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eastAsia="zh-CN"/>
              </w:rPr>
              <w:t>）</w:t>
            </w:r>
          </w:p>
        </w:tc>
      </w:tr>
      <w:tr w14:paraId="4F21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8E589D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38" w:type="pct"/>
            <w:gridSpan w:val="2"/>
          </w:tcPr>
          <w:p w14:paraId="77692B76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7A0D3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D0B167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38" w:type="pct"/>
            <w:gridSpan w:val="2"/>
          </w:tcPr>
          <w:p w14:paraId="4EE1190C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数量：1套</w:t>
            </w:r>
          </w:p>
        </w:tc>
      </w:tr>
      <w:tr w14:paraId="4BAC6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9D3801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38" w:type="pct"/>
            <w:gridSpan w:val="2"/>
          </w:tcPr>
          <w:p w14:paraId="560F2F85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用途：用于自动化、标准化、高通量地观测、记录和量化实验动物在自然或实验情境下的行为。</w:t>
            </w:r>
          </w:p>
        </w:tc>
      </w:tr>
      <w:tr w14:paraId="10D57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25D3362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38" w:type="pct"/>
            <w:gridSpan w:val="2"/>
          </w:tcPr>
          <w:p w14:paraId="1A5625CB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3DFC2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E962ACC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4A0C0721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软件可用大小鼠、猫、狗、兔、豚鼠、鱼类、壁虎、线虫、果蝇等实验动物的行为分析，跟踪对象丰富；</w:t>
            </w:r>
          </w:p>
        </w:tc>
      </w:tr>
      <w:tr w14:paraId="4C4E3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3245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018EB3C9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软件支持任意形状开放场的视频识别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包括但不限于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开展Morris 水迷宫、 Y 迷宫（Y Maze）、T 迷宫（T Maze）、八臂迷宫（Radial Arm Maze）、巴恩斯迷宫（Barnes Maze）、高架十字迷宫（Elevated Plus Maze）、高架O迷宫（Elevated Zero Maze）、强迫游泳实验（Forced Swimming Test）、悬尾实验（Tail Suspension Test）、旷场实验（Open Field Test）、新物体识别实验（Novel Object Recognition）、三箱社交行为实验（Three Chamber Social Test）等实验；</w:t>
            </w:r>
          </w:p>
        </w:tc>
      </w:tr>
      <w:tr w14:paraId="46B08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09654EA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3C1A3A3A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软件支持用户进行双盲实验，针对于每个区域均可调节区域进入标准；</w:t>
            </w:r>
          </w:p>
        </w:tc>
      </w:tr>
      <w:tr w14:paraId="17D31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54BC6E0E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1E253A5A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软件支持多通道动物同时实验，支持同时对≥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15个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摄像头进行追踪，可同时进行≥80个行为学实验；</w:t>
            </w:r>
          </w:p>
        </w:tc>
      </w:tr>
      <w:tr w14:paraId="38BF3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2D85C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371F0D4D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系统可以对实时或者离线视频进行像素级裁剪，以到达最佳视觉效果；</w:t>
            </w:r>
          </w:p>
        </w:tc>
      </w:tr>
      <w:tr w14:paraId="052AB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1081CD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2.6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30D8AE85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系统支持自定义添加参数，无参数数量限制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36F52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DA404F5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2.7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79E8B3FE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键盘辅助记录器最多可定义≥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个辅助参数，用于辅助记录无法用视频记录的参数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5AB27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034CCBF9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43CC8090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软件具有point定点功能，用户可以自定义point参数，完成兴趣点的检测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7E8D1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061EB4F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2.9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7E54EB38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软件可以对动物的头部、躯干中心、尾部分别进行追踪，并得到其坐标位置；</w:t>
            </w:r>
          </w:p>
        </w:tc>
      </w:tr>
      <w:tr w14:paraId="2408D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4E269BDD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2.10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35088090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软件分析功能可以对每只动物的结果进行统计，也可以对各组的结果进行对比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2F3FE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54DC64D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2.11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7B031105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软件可以自动生成热图，用户可根据自己的喜好对热图的颜色进行像素级别的编辑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446EC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5220A289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2.12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36C2B0E2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软件生成的轨迹图，可根据用户需求更改轨迹、背景颜色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也可保存成视频或图片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不仅能保存整个测试期间的轨迹图，且能根据需要保存特定时段的轨迹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65190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72FABAA4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2.13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2554FBDD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软件可以自动计算感兴趣的参数，例如：总冻结时间，冻结事件的数量，冻结的持续时间，刺激和冻结之间的延迟时间等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500CA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253312D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2.14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256F8036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软件拥有强大的sequence功能，用户针对于任何实验，可以编辑此功能来检测动物的sequence行为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2E6B8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72FB28DE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2.15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4FA5708E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软件可以给出特定时段的实验数据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6F954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058F916E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2.16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7A3B07CC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具备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≥30种的统计检验，也可以导出使用第三方统计软件如SPSS和EXCEL统计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23E77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734AD1D3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2.17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291C251A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实验结果保存形式包括：文字报告、图表报告、轨迹动画、轨迹图、热图等；</w:t>
            </w:r>
          </w:p>
        </w:tc>
      </w:tr>
      <w:tr w14:paraId="68DEF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8D3FF28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2.18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7F67F8B8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软件可以始终提供免费的升级更新服务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 w14:paraId="6D9D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4FF3356E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38" w:type="pct"/>
            <w:gridSpan w:val="2"/>
            <w:vAlign w:val="top"/>
          </w:tcPr>
          <w:p w14:paraId="0D8894C6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主要配置及附件</w:t>
            </w:r>
          </w:p>
        </w:tc>
      </w:tr>
      <w:tr w14:paraId="7FCCE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0873099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12F10FAB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动物行为分析系统电脑主机1套</w:t>
            </w:r>
          </w:p>
        </w:tc>
      </w:tr>
      <w:tr w14:paraId="7786A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37D7834C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538" w:type="pct"/>
            <w:gridSpan w:val="2"/>
            <w:shd w:val="clear" w:color="auto" w:fill="auto"/>
            <w:vAlign w:val="center"/>
          </w:tcPr>
          <w:p w14:paraId="18D734AC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行为学分析软件1套</w:t>
            </w:r>
          </w:p>
        </w:tc>
      </w:tr>
      <w:tr w14:paraId="36891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E04253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38" w:type="pct"/>
            <w:gridSpan w:val="2"/>
            <w:vAlign w:val="top"/>
          </w:tcPr>
          <w:p w14:paraId="6B5D172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售后服务要求</w:t>
            </w:r>
          </w:p>
        </w:tc>
      </w:tr>
      <w:tr w14:paraId="2276B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5C72A7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4.1</w:t>
            </w:r>
          </w:p>
        </w:tc>
        <w:tc>
          <w:tcPr>
            <w:tcW w:w="4538" w:type="pct"/>
            <w:gridSpan w:val="2"/>
            <w:vAlign w:val="top"/>
          </w:tcPr>
          <w:p w14:paraId="4BF3B875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原厂质保期不少于（ 5 ）年                           </w:t>
            </w:r>
          </w:p>
        </w:tc>
      </w:tr>
      <w:tr w14:paraId="18905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ECF50F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4.2</w:t>
            </w:r>
          </w:p>
        </w:tc>
        <w:tc>
          <w:tcPr>
            <w:tcW w:w="4538" w:type="pct"/>
            <w:gridSpan w:val="2"/>
            <w:vAlign w:val="top"/>
          </w:tcPr>
          <w:p w14:paraId="04657750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供应商应根据要求负责设备检测，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</w:t>
            </w:r>
          </w:p>
        </w:tc>
      </w:tr>
      <w:tr w14:paraId="0EA7E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D928CE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4.3</w:t>
            </w:r>
          </w:p>
        </w:tc>
        <w:tc>
          <w:tcPr>
            <w:tcW w:w="4538" w:type="pct"/>
            <w:gridSpan w:val="2"/>
            <w:vAlign w:val="top"/>
          </w:tcPr>
          <w:p w14:paraId="46580406">
            <w:pPr>
              <w:ind w:right="42" w:rightChars="2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，具备良好的扩展性以满足后续升级需求；提供对接方案；若设备有信息系统接口，全部免费开放（如需）</w:t>
            </w:r>
          </w:p>
        </w:tc>
      </w:tr>
      <w:tr w14:paraId="1B020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312346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4.4</w:t>
            </w:r>
          </w:p>
        </w:tc>
        <w:tc>
          <w:tcPr>
            <w:tcW w:w="4538" w:type="pct"/>
            <w:gridSpan w:val="2"/>
            <w:vAlign w:val="top"/>
          </w:tcPr>
          <w:p w14:paraId="5A02B1D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其他：</w:t>
            </w:r>
          </w:p>
        </w:tc>
      </w:tr>
      <w:tr w14:paraId="5F987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037FEA7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五</w:t>
            </w:r>
          </w:p>
        </w:tc>
        <w:tc>
          <w:tcPr>
            <w:tcW w:w="4538" w:type="pct"/>
            <w:gridSpan w:val="2"/>
            <w:vAlign w:val="top"/>
          </w:tcPr>
          <w:p w14:paraId="64E6467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付款方式</w:t>
            </w:r>
          </w:p>
        </w:tc>
      </w:tr>
      <w:tr w14:paraId="650F8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354FE3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</w:t>
            </w:r>
          </w:p>
        </w:tc>
        <w:tc>
          <w:tcPr>
            <w:tcW w:w="4538" w:type="pct"/>
            <w:gridSpan w:val="2"/>
            <w:vAlign w:val="top"/>
          </w:tcPr>
          <w:p w14:paraId="13378BFA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货物类</w:t>
            </w:r>
          </w:p>
        </w:tc>
      </w:tr>
      <w:tr w14:paraId="4F309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ED30C1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5.1.1</w:t>
            </w:r>
          </w:p>
        </w:tc>
        <w:tc>
          <w:tcPr>
            <w:tcW w:w="4538" w:type="pct"/>
            <w:gridSpan w:val="2"/>
            <w:vAlign w:val="top"/>
          </w:tcPr>
          <w:p w14:paraId="0B5BA053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预付款金额为合同款金额的40%。合同生效且项目具备实施条件后支付预付款；项目验收合格后</w:t>
            </w:r>
          </w:p>
          <w:p w14:paraId="70981EE9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付清余款。（适用中小企业投标）；</w:t>
            </w:r>
          </w:p>
        </w:tc>
      </w:tr>
      <w:tr w14:paraId="0BE5F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D46A96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5.1.2</w:t>
            </w:r>
          </w:p>
        </w:tc>
        <w:tc>
          <w:tcPr>
            <w:tcW w:w="4538" w:type="pct"/>
            <w:gridSpan w:val="2"/>
            <w:vAlign w:val="top"/>
          </w:tcPr>
          <w:p w14:paraId="498FF44D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项目验收合格后付全款；（适用大型企业投标）</w:t>
            </w:r>
          </w:p>
        </w:tc>
      </w:tr>
      <w:tr w14:paraId="6BB69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13BD464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</w:t>
            </w:r>
          </w:p>
        </w:tc>
        <w:tc>
          <w:tcPr>
            <w:tcW w:w="4538" w:type="pct"/>
            <w:gridSpan w:val="2"/>
            <w:vAlign w:val="top"/>
          </w:tcPr>
          <w:p w14:paraId="177E73B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服务类</w:t>
            </w:r>
          </w:p>
        </w:tc>
      </w:tr>
      <w:tr w14:paraId="071CA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494F06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5.2.1</w:t>
            </w:r>
          </w:p>
        </w:tc>
        <w:tc>
          <w:tcPr>
            <w:tcW w:w="4538" w:type="pct"/>
            <w:gridSpan w:val="2"/>
            <w:vAlign w:val="top"/>
          </w:tcPr>
          <w:p w14:paraId="640738F2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预付款金额不超过合同总金额的40%，合同生效后支付预付款；余款在不违反相关采购规定的情况下，由双方协商决定；</w:t>
            </w:r>
          </w:p>
        </w:tc>
      </w:tr>
    </w:tbl>
    <w:p w14:paraId="70E0241F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37A0C10"/>
    <w:rsid w:val="04C933EA"/>
    <w:rsid w:val="06CB3F5F"/>
    <w:rsid w:val="06CC6306"/>
    <w:rsid w:val="06ED4927"/>
    <w:rsid w:val="07502F2B"/>
    <w:rsid w:val="07A70F85"/>
    <w:rsid w:val="099077F7"/>
    <w:rsid w:val="0A215939"/>
    <w:rsid w:val="0A92679B"/>
    <w:rsid w:val="0B876571"/>
    <w:rsid w:val="0D5F3C6E"/>
    <w:rsid w:val="0F2C1D70"/>
    <w:rsid w:val="10477E7E"/>
    <w:rsid w:val="19445237"/>
    <w:rsid w:val="1ADC4941"/>
    <w:rsid w:val="1BAC1A1D"/>
    <w:rsid w:val="1FF02946"/>
    <w:rsid w:val="208E5D79"/>
    <w:rsid w:val="24303C58"/>
    <w:rsid w:val="24CF6FCD"/>
    <w:rsid w:val="26651C51"/>
    <w:rsid w:val="27BA4183"/>
    <w:rsid w:val="28331C1B"/>
    <w:rsid w:val="2C821B92"/>
    <w:rsid w:val="2EE34571"/>
    <w:rsid w:val="30572F78"/>
    <w:rsid w:val="33C148CD"/>
    <w:rsid w:val="34480AEF"/>
    <w:rsid w:val="37BE76E8"/>
    <w:rsid w:val="38A03D8B"/>
    <w:rsid w:val="397F500E"/>
    <w:rsid w:val="3DBB238D"/>
    <w:rsid w:val="40000B87"/>
    <w:rsid w:val="4207575F"/>
    <w:rsid w:val="42C27EDD"/>
    <w:rsid w:val="43030A5E"/>
    <w:rsid w:val="443B2CEC"/>
    <w:rsid w:val="44C578EC"/>
    <w:rsid w:val="46FF096E"/>
    <w:rsid w:val="49184B37"/>
    <w:rsid w:val="4A946440"/>
    <w:rsid w:val="4A9F3554"/>
    <w:rsid w:val="4AFB588F"/>
    <w:rsid w:val="4D6F37E2"/>
    <w:rsid w:val="4F361873"/>
    <w:rsid w:val="5118618C"/>
    <w:rsid w:val="51271099"/>
    <w:rsid w:val="51D0666D"/>
    <w:rsid w:val="52A116FA"/>
    <w:rsid w:val="59CE33A8"/>
    <w:rsid w:val="5A6076D7"/>
    <w:rsid w:val="5BB87046"/>
    <w:rsid w:val="5F7056A6"/>
    <w:rsid w:val="60D8398A"/>
    <w:rsid w:val="61386D43"/>
    <w:rsid w:val="62CD7E8B"/>
    <w:rsid w:val="663336A5"/>
    <w:rsid w:val="66D23DE2"/>
    <w:rsid w:val="67212ADF"/>
    <w:rsid w:val="69DB0917"/>
    <w:rsid w:val="6E873EA7"/>
    <w:rsid w:val="70326D5C"/>
    <w:rsid w:val="72901CD2"/>
    <w:rsid w:val="73691968"/>
    <w:rsid w:val="762A3631"/>
    <w:rsid w:val="7B28549C"/>
    <w:rsid w:val="7B41219D"/>
    <w:rsid w:val="7BD96243"/>
    <w:rsid w:val="7C2737B9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1417</Words>
  <Characters>1747</Characters>
  <Lines>0</Lines>
  <Paragraphs>0</Paragraphs>
  <TotalTime>1</TotalTime>
  <ScaleCrop>false</ScaleCrop>
  <LinksUpToDate>false</LinksUpToDate>
  <CharactersWithSpaces>1803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2025-12-19T02:18:10Z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0AFD710A6D8B419DBB446843397BE1AD_13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