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9"/>
        <w:gridCol w:w="1814"/>
        <w:gridCol w:w="8338"/>
      </w:tblGrid>
      <w:tr w14:paraId="63147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3D2B7AEA">
            <w:pPr>
              <w:ind w:right="-932" w:rightChars="-444" w:firstLine="1606" w:firstLineChars="500"/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</w:t>
            </w:r>
            <w:r>
              <w:rPr>
                <w:rFonts w:hint="eastAsia" w:ascii="宋体" w:hAnsi="宋体"/>
                <w:b/>
                <w:color w:val="000000"/>
                <w:sz w:val="32"/>
                <w:szCs w:val="32"/>
                <w:lang w:val="en-US" w:eastAsia="zh-CN"/>
              </w:rPr>
              <w:t>需求确认表</w:t>
            </w:r>
          </w:p>
        </w:tc>
      </w:tr>
      <w:tr w14:paraId="4DD8F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  <w:shd w:val="clear" w:color="auto" w:fill="auto"/>
            <w:vAlign w:val="top"/>
          </w:tcPr>
          <w:p w14:paraId="62B92A4C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31" w:type="pct"/>
            <w:shd w:val="clear" w:color="auto" w:fill="auto"/>
            <w:vAlign w:val="top"/>
          </w:tcPr>
          <w:p w14:paraId="2BB75883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  <w:t>电子生物反馈治疗仪</w:t>
            </w:r>
          </w:p>
        </w:tc>
      </w:tr>
      <w:tr w14:paraId="46B93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  <w:shd w:val="clear" w:color="auto" w:fill="auto"/>
            <w:vAlign w:val="top"/>
          </w:tcPr>
          <w:p w14:paraId="10FCA9E2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31" w:type="pct"/>
            <w:shd w:val="clear" w:color="auto" w:fill="auto"/>
            <w:vAlign w:val="top"/>
          </w:tcPr>
          <w:p w14:paraId="34832523">
            <w:pPr>
              <w:bidi w:val="0"/>
              <w:ind w:firstLine="444" w:firstLine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kern w:val="2"/>
                <w:sz w:val="28"/>
                <w:szCs w:val="28"/>
                <w:lang w:val="en-US" w:eastAsia="zh-CN" w:bidi="ar-SA"/>
              </w:rPr>
              <w:t>康复科</w:t>
            </w:r>
          </w:p>
        </w:tc>
      </w:tr>
      <w:tr w14:paraId="47E94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4028682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52AE74B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1CE8B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6C401B9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5B0408D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数量：1台；</w:t>
            </w:r>
          </w:p>
        </w:tc>
      </w:tr>
      <w:tr w14:paraId="59A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8DD805D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9F27E6C">
            <w:pPr>
              <w:ind w:right="-340" w:rightChars="-162"/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用途：</w:t>
            </w: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>对患者的体表肌电信号进行采集、分析和反馈训练，可以对患者的肌肉施加电刺激来帮</w:t>
            </w:r>
          </w:p>
          <w:p w14:paraId="62496108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>助诊断和恢复患者的肌肉功能障碍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。</w:t>
            </w:r>
          </w:p>
        </w:tc>
      </w:tr>
      <w:tr w14:paraId="49025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873F63C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18F88BD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主要功能及参数</w:t>
            </w:r>
          </w:p>
        </w:tc>
      </w:tr>
      <w:tr w14:paraId="54338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04690C0">
            <w:pPr>
              <w:ind w:right="-340" w:rightChars="-162" w:firstLine="24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7C0E9F5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≥4个独立通道；</w:t>
            </w:r>
          </w:p>
        </w:tc>
      </w:tr>
      <w:tr w14:paraId="47A00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454E7C0">
            <w:pPr>
              <w:ind w:right="-340" w:rightChars="-162" w:firstLine="24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AF8FC67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AD采样率≥8192 Hz；</w:t>
            </w:r>
          </w:p>
        </w:tc>
      </w:tr>
      <w:tr w14:paraId="74E45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21932B64">
            <w:pPr>
              <w:ind w:right="-340" w:rightChars="-162" w:firstLine="24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358C8DB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刺激强度：0～100mA可调；</w:t>
            </w:r>
          </w:p>
        </w:tc>
      </w:tr>
      <w:tr w14:paraId="32742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0BA2A488">
            <w:pPr>
              <w:ind w:right="-340" w:rightChars="-162" w:firstLine="24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46BD5BE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刺激频率：0.5～999Hz可调；</w:t>
            </w:r>
          </w:p>
        </w:tc>
      </w:tr>
      <w:tr w14:paraId="24023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76FA5504">
            <w:pPr>
              <w:ind w:right="-340" w:rightChars="-162" w:firstLine="24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CF1BF1B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脉冲宽度：10μs～1000μs；</w:t>
            </w:r>
          </w:p>
        </w:tc>
      </w:tr>
      <w:tr w14:paraId="27EB8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0E48957A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28642AC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刺激波形：双向平衡波；</w:t>
            </w:r>
          </w:p>
        </w:tc>
      </w:tr>
      <w:tr w14:paraId="4EFF1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1EFD8BF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9F5952C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具有神经肌肉电刺激功能（NMES）；</w:t>
            </w:r>
          </w:p>
        </w:tc>
      </w:tr>
      <w:tr w14:paraId="1B0C55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401A8C90">
            <w:pPr>
              <w:ind w:right="-340" w:rightChars="-162" w:firstLine="24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E138656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具有双通道肌电触发电刺激功能（ETS）；强化正反馈，根据肌电信号实时改变电刺激强度，肌电值越大，电流强度也越大；强调患者的主观运动，并提供积极、正向的反馈，帮助患者最大限度的恢复运动功能；</w:t>
            </w:r>
          </w:p>
        </w:tc>
      </w:tr>
      <w:tr w14:paraId="35164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17A318C4">
            <w:pPr>
              <w:ind w:right="-340" w:rightChars="-162" w:firstLine="24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4F6CA7D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神经肌肉电刺激方案可实现多人，多通道，多方案，不同步治疗；</w:t>
            </w:r>
          </w:p>
        </w:tc>
      </w:tr>
      <w:tr w14:paraId="5234C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62353386">
            <w:pPr>
              <w:ind w:right="-340" w:rightChars="-162" w:firstLine="24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2.10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A5E689E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具有时序模式和独立刺激模式可选，提供全面的康复治疗方案；</w:t>
            </w:r>
          </w:p>
        </w:tc>
      </w:tr>
      <w:tr w14:paraId="449DE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5709844D">
            <w:pPr>
              <w:ind w:right="-340" w:rightChars="-162" w:firstLine="24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DFF71A0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具有吞咽功能障碍治疗方案，并配有专用吞咽电极片；</w:t>
            </w:r>
          </w:p>
        </w:tc>
      </w:tr>
      <w:tr w14:paraId="4B992D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29292518">
            <w:pPr>
              <w:ind w:right="-340" w:rightChars="-162" w:firstLine="24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C39848A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可编辑个性化治疗方案，自定义临床方案刺激时间、间歇时间、波升时间、波降时间、刺激频率、脉宽可调，且推荐临床常用的治疗参数；</w:t>
            </w:r>
          </w:p>
        </w:tc>
      </w:tr>
      <w:tr w14:paraId="02817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2B88CC06">
            <w:pPr>
              <w:ind w:right="-340" w:rightChars="-162" w:firstLine="24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309942A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提供常规刺激、载波调制和变频电刺激三种刺激形式选择，方案通道可自定义；</w:t>
            </w:r>
          </w:p>
        </w:tc>
      </w:tr>
      <w:tr w14:paraId="4ABF22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4A5CE53C">
            <w:pPr>
              <w:ind w:right="-340" w:rightChars="-162" w:firstLine="24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0D90C37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具备表面肌电评估功能，实时评估患者肌力情况，可出具评估报告，评估报告可存储及导出；</w:t>
            </w:r>
          </w:p>
        </w:tc>
      </w:tr>
      <w:tr w14:paraId="751A10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073A56B7">
            <w:pPr>
              <w:ind w:right="-340" w:rightChars="-162" w:firstLine="24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8C2342D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具备多媒体生物反馈训练功能，可进行肌力放松、增强、耐力、协调、精准训练。</w:t>
            </w:r>
          </w:p>
        </w:tc>
      </w:tr>
      <w:tr w14:paraId="77D67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vAlign w:val="top"/>
          </w:tcPr>
          <w:p w14:paraId="5061038A">
            <w:pPr>
              <w:ind w:right="-340" w:rightChars="-162" w:firstLine="241" w:firstLineChars="100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543" w:type="pct"/>
            <w:gridSpan w:val="2"/>
            <w:vAlign w:val="top"/>
          </w:tcPr>
          <w:p w14:paraId="71CE746A">
            <w:pPr>
              <w:ind w:right="55" w:rightChars="26"/>
              <w:jc w:val="center"/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主要配置及附件</w:t>
            </w:r>
          </w:p>
        </w:tc>
      </w:tr>
      <w:tr w14:paraId="17CE5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3C24EDF4">
            <w:pPr>
              <w:ind w:right="-340" w:rightChars="-162" w:firstLine="24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9727797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  <w:t>生物刺激反馈仪主机（含支架）1台</w:t>
            </w:r>
          </w:p>
        </w:tc>
      </w:tr>
      <w:tr w14:paraId="16003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07B17124">
            <w:pPr>
              <w:ind w:right="-340" w:rightChars="-162" w:firstLine="240" w:firstLineChars="100"/>
              <w:jc w:val="left"/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9CC9C9A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  <w:t>电极线4根</w:t>
            </w:r>
          </w:p>
        </w:tc>
      </w:tr>
      <w:tr w14:paraId="0C661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2E0F95B4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F92A7DD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  <w:t>推车（含适配器）1 台</w:t>
            </w:r>
          </w:p>
        </w:tc>
      </w:tr>
      <w:tr w14:paraId="110AE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24CD5846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12FC8A4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  <w:t>多媒体生物刺激反馈嵌入式软件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</w:t>
            </w:r>
            <w:r>
              <w:rPr>
                <w:rFonts w:hint="default" w:asciiTheme="minorEastAsia" w:hAnsiTheme="minorEastAsia"/>
                <w:sz w:val="24"/>
                <w:szCs w:val="24"/>
                <w:lang w:val="en-US" w:eastAsia="zh-CN"/>
              </w:rPr>
              <w:t>套</w:t>
            </w:r>
          </w:p>
        </w:tc>
      </w:tr>
      <w:tr w14:paraId="4288F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51C95E2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75601AB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售后服务要求</w:t>
            </w:r>
          </w:p>
        </w:tc>
      </w:tr>
      <w:tr w14:paraId="40527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7881C561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53E25BA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原厂质保期不少于（5）年</w:t>
            </w:r>
          </w:p>
        </w:tc>
      </w:tr>
      <w:tr w14:paraId="65ECE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  <w:shd w:val="clear" w:color="auto" w:fill="auto"/>
            <w:vAlign w:val="top"/>
          </w:tcPr>
          <w:p w14:paraId="431E824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35B519F">
            <w:pPr>
              <w:ind w:right="42" w:rightChars="2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供应商应根据要求负责设备检测，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验收时需提供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检测合格报告</w:t>
            </w:r>
          </w:p>
        </w:tc>
      </w:tr>
      <w:tr w14:paraId="225BB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shd w:val="clear" w:color="auto" w:fill="auto"/>
            <w:vAlign w:val="top"/>
          </w:tcPr>
          <w:p w14:paraId="5E155546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BD2DA39">
            <w:pPr>
              <w:ind w:right="42" w:rightChars="2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，具备良好的扩展性以满足后续升级需求；提供对接方案；若设备有信息系统接口，全部免费开放（如需）</w:t>
            </w:r>
          </w:p>
        </w:tc>
      </w:tr>
      <w:tr w14:paraId="3C4EB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shd w:val="clear" w:color="auto" w:fill="auto"/>
            <w:vAlign w:val="top"/>
          </w:tcPr>
          <w:p w14:paraId="27DA1409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五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C7AEB22">
            <w:pPr>
              <w:ind w:right="-340" w:rightChars="-162"/>
              <w:jc w:val="center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付款方式</w:t>
            </w:r>
          </w:p>
        </w:tc>
      </w:tr>
      <w:tr w14:paraId="0A8D6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shd w:val="clear" w:color="auto" w:fill="auto"/>
            <w:vAlign w:val="top"/>
          </w:tcPr>
          <w:p w14:paraId="5C17376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B5CDAA5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货物类</w:t>
            </w:r>
          </w:p>
        </w:tc>
      </w:tr>
      <w:tr w14:paraId="6BDA7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  <w:shd w:val="clear" w:color="auto" w:fill="auto"/>
            <w:vAlign w:val="top"/>
          </w:tcPr>
          <w:p w14:paraId="7D39AB2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B0EF369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预付款金额为合同款金额的40%。合同生效且项目具备实施条件后支付预付款；项目验收合格后</w:t>
            </w:r>
          </w:p>
          <w:p w14:paraId="3F25D23D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付清余款。（适用中小企业投标）；</w:t>
            </w:r>
          </w:p>
        </w:tc>
      </w:tr>
      <w:tr w14:paraId="59DA9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0" w:type="auto"/>
            <w:shd w:val="clear" w:color="auto" w:fill="auto"/>
            <w:vAlign w:val="top"/>
          </w:tcPr>
          <w:p w14:paraId="5DAC8CDF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5.1.2</w:t>
            </w:r>
          </w:p>
        </w:tc>
        <w:tc>
          <w:tcPr>
            <w:tcW w:w="0" w:type="auto"/>
            <w:gridSpan w:val="2"/>
            <w:shd w:val="clear" w:color="auto" w:fill="auto"/>
            <w:vAlign w:val="top"/>
          </w:tcPr>
          <w:p w14:paraId="680831E3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项目验收合格后付全款；（适用大型企业投标）</w:t>
            </w:r>
          </w:p>
        </w:tc>
      </w:tr>
      <w:tr w14:paraId="67834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0" w:type="auto"/>
            <w:shd w:val="clear" w:color="auto" w:fill="auto"/>
            <w:vAlign w:val="top"/>
          </w:tcPr>
          <w:p w14:paraId="7357CD00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</w:t>
            </w:r>
          </w:p>
        </w:tc>
        <w:tc>
          <w:tcPr>
            <w:tcW w:w="0" w:type="auto"/>
            <w:gridSpan w:val="2"/>
            <w:shd w:val="clear" w:color="auto" w:fill="auto"/>
            <w:vAlign w:val="top"/>
          </w:tcPr>
          <w:p w14:paraId="688BA04A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服务类</w:t>
            </w:r>
          </w:p>
        </w:tc>
      </w:tr>
      <w:tr w14:paraId="19267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0" w:type="auto"/>
            <w:shd w:val="clear" w:color="auto" w:fill="auto"/>
            <w:vAlign w:val="top"/>
          </w:tcPr>
          <w:p w14:paraId="462A9A5A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5.2.1</w:t>
            </w:r>
          </w:p>
        </w:tc>
        <w:tc>
          <w:tcPr>
            <w:tcW w:w="0" w:type="auto"/>
            <w:gridSpan w:val="2"/>
            <w:shd w:val="clear" w:color="auto" w:fill="auto"/>
            <w:vAlign w:val="top"/>
          </w:tcPr>
          <w:p w14:paraId="6928BD16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预付款金额不超过合同总金额的40%，合同生效后支付预付款；余款在不违反相关采购规定的情况下，由双方协商决定；</w:t>
            </w:r>
          </w:p>
        </w:tc>
      </w:tr>
    </w:tbl>
    <w:p w14:paraId="2C689BD0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  <w:r>
        <w:rPr>
          <w:rFonts w:hint="eastAsia"/>
          <w:sz w:val="24"/>
          <w:szCs w:val="24"/>
          <w:u w:val="none"/>
          <w:lang w:val="en-US" w:eastAsia="zh-CN"/>
        </w:rPr>
        <w:t>注：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  <w:t>▲为实质性条款，△为重要参数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10A6538"/>
    <w:rsid w:val="01150CE5"/>
    <w:rsid w:val="02580567"/>
    <w:rsid w:val="06065E8B"/>
    <w:rsid w:val="06CC6306"/>
    <w:rsid w:val="07755A9D"/>
    <w:rsid w:val="07A70F85"/>
    <w:rsid w:val="095D5673"/>
    <w:rsid w:val="099077F7"/>
    <w:rsid w:val="0A0845D2"/>
    <w:rsid w:val="0B3C6A0D"/>
    <w:rsid w:val="0B4A109D"/>
    <w:rsid w:val="0D1A7C95"/>
    <w:rsid w:val="0FB77316"/>
    <w:rsid w:val="13142634"/>
    <w:rsid w:val="16A6065A"/>
    <w:rsid w:val="17941799"/>
    <w:rsid w:val="18EA4B05"/>
    <w:rsid w:val="1ADC4941"/>
    <w:rsid w:val="1B68121C"/>
    <w:rsid w:val="1C67088B"/>
    <w:rsid w:val="21122A96"/>
    <w:rsid w:val="22077134"/>
    <w:rsid w:val="228C104B"/>
    <w:rsid w:val="23E11D66"/>
    <w:rsid w:val="24262DDA"/>
    <w:rsid w:val="24303C58"/>
    <w:rsid w:val="258778A8"/>
    <w:rsid w:val="27027B2E"/>
    <w:rsid w:val="27D06A95"/>
    <w:rsid w:val="28331C1B"/>
    <w:rsid w:val="2C1C74C7"/>
    <w:rsid w:val="2E757101"/>
    <w:rsid w:val="2EE34571"/>
    <w:rsid w:val="30257375"/>
    <w:rsid w:val="311367F6"/>
    <w:rsid w:val="322E3EED"/>
    <w:rsid w:val="357C7EED"/>
    <w:rsid w:val="37C62A56"/>
    <w:rsid w:val="38A03D8B"/>
    <w:rsid w:val="397F500E"/>
    <w:rsid w:val="3AA31C0A"/>
    <w:rsid w:val="3AB5320A"/>
    <w:rsid w:val="3BD92404"/>
    <w:rsid w:val="43B71F36"/>
    <w:rsid w:val="446C4B9D"/>
    <w:rsid w:val="45AE47EA"/>
    <w:rsid w:val="46B054FE"/>
    <w:rsid w:val="47613FA5"/>
    <w:rsid w:val="497F0BBF"/>
    <w:rsid w:val="4AFB588F"/>
    <w:rsid w:val="4D363751"/>
    <w:rsid w:val="4DF07F01"/>
    <w:rsid w:val="4EDF1ABC"/>
    <w:rsid w:val="51E952C3"/>
    <w:rsid w:val="52E11882"/>
    <w:rsid w:val="53427C04"/>
    <w:rsid w:val="564A47AF"/>
    <w:rsid w:val="56923E00"/>
    <w:rsid w:val="57B8618F"/>
    <w:rsid w:val="5B4F43E9"/>
    <w:rsid w:val="5C721E12"/>
    <w:rsid w:val="5D064F7B"/>
    <w:rsid w:val="5E007C1C"/>
    <w:rsid w:val="5EFD415C"/>
    <w:rsid w:val="61386D43"/>
    <w:rsid w:val="61646F94"/>
    <w:rsid w:val="645168F7"/>
    <w:rsid w:val="65257F68"/>
    <w:rsid w:val="67212ADF"/>
    <w:rsid w:val="68570D81"/>
    <w:rsid w:val="68710C67"/>
    <w:rsid w:val="69DB0917"/>
    <w:rsid w:val="6DB8732C"/>
    <w:rsid w:val="6F5F506B"/>
    <w:rsid w:val="72901CD2"/>
    <w:rsid w:val="761C7166"/>
    <w:rsid w:val="77417A07"/>
    <w:rsid w:val="77D20625"/>
    <w:rsid w:val="78D92174"/>
    <w:rsid w:val="78DD568F"/>
    <w:rsid w:val="7B28549C"/>
    <w:rsid w:val="7B41219D"/>
    <w:rsid w:val="7C6B69CB"/>
    <w:rsid w:val="7D1A2FE3"/>
    <w:rsid w:val="7D1D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/>
    </w:pPr>
    <w:rPr>
      <w:rFonts w:ascii="Calibri" w:hAnsi="Calibri" w:cs="Calibri"/>
      <w:sz w:val="28"/>
      <w:szCs w:val="28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_Style 109"/>
    <w:basedOn w:val="1"/>
    <w:next w:val="1"/>
    <w:qFormat/>
    <w:uiPriority w:val="0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1115</Words>
  <Characters>1273</Characters>
  <Lines>0</Lines>
  <Paragraphs>0</Paragraphs>
  <TotalTime>2</TotalTime>
  <ScaleCrop>false</ScaleCrop>
  <LinksUpToDate>false</LinksUpToDate>
  <CharactersWithSpaces>1281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cp:lastPrinted>2025-05-23T07:28:00Z</cp:lastPrinted>
  <dcterms:modified xsi:type="dcterms:W3CDTF">2025-12-19T08:17:31Z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7D81F3DBD00742BEA0B2897E2A3D8DB3_13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