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1765"/>
        <w:gridCol w:w="8376"/>
      </w:tblGrid>
      <w:tr w14:paraId="7346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286D3A1C">
            <w:pPr>
              <w:ind w:right="-932" w:rightChars="-444"/>
              <w:jc w:val="center"/>
              <w:rPr>
                <w:rFonts w:hint="default" w:asciiTheme="majorEastAsia" w:hAnsiTheme="majorEastAsia" w:eastAsiaTheme="minorEastAsia"/>
                <w:b/>
                <w:bCs w:val="0"/>
                <w:sz w:val="24"/>
                <w:szCs w:val="24"/>
                <w:vertAlign w:val="baseline"/>
                <w:lang w:val="en-US" w:eastAsia="zh-CN"/>
              </w:rPr>
            </w:pPr>
            <w:r>
              <w:rPr>
                <w:rFonts w:hint="eastAsia" w:ascii="宋体" w:hAnsi="宋体"/>
                <w:b/>
                <w:color w:val="000000"/>
                <w:sz w:val="32"/>
                <w:szCs w:val="32"/>
              </w:rPr>
              <w:t>浙江大学附属儿童医院（医疗）设备</w:t>
            </w:r>
            <w:r>
              <w:rPr>
                <w:rFonts w:hint="eastAsia" w:ascii="宋体" w:hAnsi="宋体"/>
                <w:b/>
                <w:color w:val="000000"/>
                <w:sz w:val="32"/>
                <w:szCs w:val="32"/>
                <w:lang w:val="en-US" w:eastAsia="zh-CN"/>
              </w:rPr>
              <w:t>需求确认表</w:t>
            </w:r>
          </w:p>
        </w:tc>
      </w:tr>
      <w:tr w14:paraId="5FB0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pct"/>
            <w:gridSpan w:val="2"/>
          </w:tcPr>
          <w:p w14:paraId="097EEF5A">
            <w:pPr>
              <w:ind w:right="-340" w:rightChars="-162" w:firstLine="562" w:firstLineChars="200"/>
              <w:jc w:val="both"/>
              <w:rPr>
                <w:rFonts w:hint="eastAsia"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sz w:val="28"/>
                <w:szCs w:val="28"/>
                <w:lang w:val="en-US" w:eastAsia="zh-CN"/>
              </w:rPr>
              <w:t>项</w:t>
            </w:r>
            <w:r>
              <w:rPr>
                <w:rFonts w:hint="eastAsia" w:asciiTheme="majorEastAsia" w:hAnsiTheme="majorEastAsia" w:eastAsiaTheme="majorEastAsia"/>
                <w:b/>
                <w:sz w:val="28"/>
                <w:szCs w:val="28"/>
              </w:rPr>
              <w:t>目名称</w:t>
            </w:r>
          </w:p>
        </w:tc>
        <w:tc>
          <w:tcPr>
            <w:tcW w:w="3748" w:type="pct"/>
          </w:tcPr>
          <w:p w14:paraId="604E4495">
            <w:pPr>
              <w:ind w:right="-340" w:rightChars="-162"/>
              <w:jc w:val="center"/>
              <w:rPr>
                <w:rFonts w:hint="eastAsia" w:ascii="宋体" w:hAnsi="宋体" w:eastAsia="宋体" w:cs="宋体"/>
                <w:b w:val="0"/>
                <w:bCs/>
                <w:sz w:val="28"/>
                <w:szCs w:val="28"/>
                <w:vertAlign w:val="baseline"/>
                <w:lang w:val="en-US" w:eastAsia="zh-CN"/>
              </w:rPr>
            </w:pPr>
            <w:r>
              <w:rPr>
                <w:rFonts w:hint="eastAsia" w:ascii="宋体" w:hAnsi="宋体" w:eastAsia="宋体" w:cs="宋体"/>
                <w:b w:val="0"/>
                <w:bCs/>
                <w:kern w:val="2"/>
                <w:sz w:val="28"/>
                <w:szCs w:val="28"/>
                <w:vertAlign w:val="baseline"/>
                <w:lang w:val="en-US" w:eastAsia="zh-CN" w:bidi="ar-SA"/>
              </w:rPr>
              <w:t>钬激光治疗仪</w:t>
            </w:r>
          </w:p>
        </w:tc>
      </w:tr>
      <w:tr w14:paraId="4730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pct"/>
            <w:gridSpan w:val="2"/>
          </w:tcPr>
          <w:p w14:paraId="20CCD9DC">
            <w:pPr>
              <w:tabs>
                <w:tab w:val="left" w:pos="874"/>
              </w:tabs>
              <w:ind w:right="-340" w:rightChars="-162" w:firstLine="562" w:firstLineChars="200"/>
              <w:jc w:val="left"/>
              <w:rPr>
                <w:rFonts w:hint="default"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bCs w:val="0"/>
                <w:sz w:val="28"/>
                <w:szCs w:val="28"/>
                <w:vertAlign w:val="baseline"/>
                <w:lang w:val="en-US" w:eastAsia="zh-CN"/>
              </w:rPr>
              <w:t>使用科室</w:t>
            </w:r>
          </w:p>
        </w:tc>
        <w:tc>
          <w:tcPr>
            <w:tcW w:w="3748" w:type="pct"/>
          </w:tcPr>
          <w:p w14:paraId="258C7316">
            <w:pPr>
              <w:bidi w:val="0"/>
              <w:jc w:val="center"/>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vertAlign w:val="baseline"/>
                <w:lang w:val="en-US" w:eastAsia="zh-CN" w:bidi="ar-SA"/>
              </w:rPr>
              <w:t>内镜中心（滨江院区）</w:t>
            </w:r>
          </w:p>
        </w:tc>
      </w:tr>
      <w:tr w14:paraId="4F21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A8E589D">
            <w:pPr>
              <w:ind w:right="-340" w:rightChars="-162" w:firstLine="241"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bCs w:val="0"/>
                <w:color w:val="auto"/>
                <w:sz w:val="24"/>
                <w:szCs w:val="24"/>
                <w:vertAlign w:val="baseline"/>
                <w:lang w:val="en-US" w:eastAsia="zh-CN"/>
              </w:rPr>
              <w:t>一</w:t>
            </w:r>
          </w:p>
        </w:tc>
        <w:tc>
          <w:tcPr>
            <w:tcW w:w="4538" w:type="pct"/>
            <w:gridSpan w:val="2"/>
          </w:tcPr>
          <w:p w14:paraId="77692B76">
            <w:pPr>
              <w:ind w:right="-340" w:rightChars="-162"/>
              <w:jc w:val="center"/>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bCs w:val="0"/>
                <w:color w:val="auto"/>
                <w:sz w:val="24"/>
                <w:szCs w:val="24"/>
                <w:vertAlign w:val="baseline"/>
                <w:lang w:val="en-US" w:eastAsia="zh-CN"/>
              </w:rPr>
              <w:t>基本要求</w:t>
            </w:r>
          </w:p>
        </w:tc>
      </w:tr>
      <w:tr w14:paraId="7A0D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6D0B1674">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1.1</w:t>
            </w:r>
          </w:p>
        </w:tc>
        <w:tc>
          <w:tcPr>
            <w:tcW w:w="4538" w:type="pct"/>
            <w:gridSpan w:val="2"/>
          </w:tcPr>
          <w:p w14:paraId="4EE1190C">
            <w:pPr>
              <w:ind w:right="-340" w:rightChars="-162"/>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数量：1台</w:t>
            </w:r>
          </w:p>
        </w:tc>
      </w:tr>
      <w:tr w14:paraId="4BAC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19D3801B">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1.2</w:t>
            </w:r>
          </w:p>
        </w:tc>
        <w:tc>
          <w:tcPr>
            <w:tcW w:w="4538" w:type="pct"/>
            <w:gridSpan w:val="2"/>
          </w:tcPr>
          <w:p w14:paraId="560F2F85">
            <w:pPr>
              <w:ind w:right="44" w:rightChars="21"/>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用途：</w:t>
            </w:r>
            <w:r>
              <w:rPr>
                <w:rFonts w:hint="eastAsia" w:ascii="宋体" w:hAnsi="宋体" w:eastAsia="宋体" w:cs="宋体"/>
                <w:color w:val="auto"/>
                <w:sz w:val="24"/>
                <w:szCs w:val="24"/>
              </w:rPr>
              <w:t>应用于气道内阻塞性病变及气道狭窄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器质性气管、支气管狭窄、支气管肉芽肿、支架提取、支气管良性增生性病变等</w:t>
            </w:r>
          </w:p>
        </w:tc>
      </w:tr>
      <w:tr w14:paraId="10D5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25D3362">
            <w:pPr>
              <w:ind w:right="-340" w:rightChars="-162" w:firstLine="241" w:firstLineChars="100"/>
              <w:jc w:val="both"/>
              <w:rPr>
                <w:rFonts w:hint="eastAsia"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二</w:t>
            </w:r>
          </w:p>
        </w:tc>
        <w:tc>
          <w:tcPr>
            <w:tcW w:w="4538" w:type="pct"/>
            <w:gridSpan w:val="2"/>
          </w:tcPr>
          <w:p w14:paraId="1A5625CB">
            <w:pPr>
              <w:ind w:right="44" w:rightChars="21"/>
              <w:jc w:val="center"/>
              <w:rPr>
                <w:rFonts w:hint="eastAsia"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主要功能及参数</w:t>
            </w:r>
          </w:p>
        </w:tc>
      </w:tr>
      <w:tr w14:paraId="3DFC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2E962ACC">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2.1</w:t>
            </w:r>
          </w:p>
        </w:tc>
        <w:tc>
          <w:tcPr>
            <w:tcW w:w="4538" w:type="pct"/>
            <w:gridSpan w:val="2"/>
            <w:shd w:val="clear" w:color="auto" w:fill="auto"/>
            <w:vAlign w:val="top"/>
          </w:tcPr>
          <w:p w14:paraId="4A0C0721">
            <w:pPr>
              <w:ind w:right="44" w:rightChars="2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工作激光输出波长值：2100nm±100nm</w:t>
            </w:r>
          </w:p>
        </w:tc>
      </w:tr>
      <w:tr w14:paraId="4C4E3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A324530">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2.2</w:t>
            </w:r>
          </w:p>
        </w:tc>
        <w:tc>
          <w:tcPr>
            <w:tcW w:w="4538" w:type="pct"/>
            <w:gridSpan w:val="2"/>
            <w:shd w:val="clear" w:color="auto" w:fill="auto"/>
            <w:vAlign w:val="top"/>
          </w:tcPr>
          <w:p w14:paraId="018EB3C9">
            <w:pPr>
              <w:ind w:right="44" w:rightChars="21"/>
              <w:rPr>
                <w:rFonts w:hint="eastAsia" w:ascii="宋体" w:hAnsi="宋体" w:eastAsia="宋体" w:cs="宋体"/>
                <w:strike/>
                <w:dstrike w:val="0"/>
                <w:color w:val="auto"/>
                <w:kern w:val="2"/>
                <w:sz w:val="24"/>
                <w:szCs w:val="24"/>
                <w:lang w:val="en-US" w:eastAsia="zh-CN" w:bidi="ar-SA"/>
              </w:rPr>
            </w:pPr>
            <w:r>
              <w:rPr>
                <w:rFonts w:hint="eastAsia" w:ascii="宋体" w:hAnsi="宋体" w:eastAsia="宋体" w:cs="宋体"/>
                <w:color w:val="auto"/>
                <w:sz w:val="24"/>
                <w:szCs w:val="24"/>
              </w:rPr>
              <w:t>具有激光耦合保护系统</w:t>
            </w:r>
          </w:p>
        </w:tc>
      </w:tr>
      <w:tr w14:paraId="46B0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609654EA">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2.3</w:t>
            </w:r>
          </w:p>
        </w:tc>
        <w:tc>
          <w:tcPr>
            <w:tcW w:w="4538" w:type="pct"/>
            <w:gridSpan w:val="2"/>
            <w:shd w:val="clear" w:color="auto" w:fill="auto"/>
            <w:vAlign w:val="top"/>
          </w:tcPr>
          <w:p w14:paraId="3C1A3A3A">
            <w:pPr>
              <w:ind w:right="44" w:rightChars="21"/>
              <w:rPr>
                <w:rFonts w:hint="eastAsia" w:ascii="宋体" w:hAnsi="宋体" w:eastAsia="宋体" w:cs="宋体"/>
                <w:bCs/>
                <w:strike/>
                <w:dstrike w:val="0"/>
                <w:color w:val="auto"/>
                <w:kern w:val="2"/>
                <w:sz w:val="24"/>
                <w:szCs w:val="24"/>
                <w:highlight w:val="none"/>
                <w:lang w:val="en-US" w:eastAsia="zh-CN" w:bidi="ar-SA"/>
              </w:rPr>
            </w:pPr>
            <w:r>
              <w:rPr>
                <w:rFonts w:hint="eastAsia" w:ascii="宋体" w:hAnsi="宋体" w:eastAsia="宋体" w:cs="宋体"/>
                <w:color w:val="auto"/>
                <w:sz w:val="24"/>
                <w:szCs w:val="24"/>
              </w:rPr>
              <w:t>光纤接头</w:t>
            </w:r>
            <w:r>
              <w:rPr>
                <w:rFonts w:hint="eastAsia" w:ascii="宋体" w:hAnsi="宋体" w:eastAsia="宋体" w:cs="宋体"/>
                <w:color w:val="auto"/>
                <w:sz w:val="24"/>
                <w:szCs w:val="24"/>
                <w:lang w:val="en-US" w:eastAsia="zh-CN"/>
              </w:rPr>
              <w:t>可</w:t>
            </w:r>
            <w:r>
              <w:rPr>
                <w:rFonts w:hint="eastAsia" w:ascii="宋体" w:hAnsi="宋体" w:eastAsia="宋体" w:cs="宋体"/>
                <w:color w:val="auto"/>
                <w:sz w:val="24"/>
                <w:szCs w:val="24"/>
              </w:rPr>
              <w:t>自动检测光纤到位和光纤型号并自动设定该型号光纤的最大输出功率</w:t>
            </w:r>
          </w:p>
        </w:tc>
      </w:tr>
      <w:tr w14:paraId="17D3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54BC6E0E">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2.4</w:t>
            </w:r>
          </w:p>
        </w:tc>
        <w:tc>
          <w:tcPr>
            <w:tcW w:w="4538" w:type="pct"/>
            <w:gridSpan w:val="2"/>
            <w:shd w:val="clear" w:color="auto" w:fill="auto"/>
            <w:vAlign w:val="top"/>
          </w:tcPr>
          <w:p w14:paraId="1E253A5A">
            <w:pPr>
              <w:ind w:right="44" w:rightChars="21"/>
              <w:rPr>
                <w:rFonts w:hint="eastAsia" w:ascii="宋体" w:hAnsi="宋体" w:eastAsia="宋体" w:cs="宋体"/>
                <w:strike/>
                <w:dstrike w:val="0"/>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输出功率：10W-30W，可调</w:t>
            </w:r>
          </w:p>
        </w:tc>
      </w:tr>
      <w:tr w14:paraId="38BF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12D85C30">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2.5</w:t>
            </w:r>
          </w:p>
        </w:tc>
        <w:tc>
          <w:tcPr>
            <w:tcW w:w="4538" w:type="pct"/>
            <w:gridSpan w:val="2"/>
            <w:shd w:val="clear" w:color="auto" w:fill="auto"/>
            <w:vAlign w:val="top"/>
          </w:tcPr>
          <w:p w14:paraId="371F0D4D">
            <w:pPr>
              <w:ind w:right="44" w:rightChars="21"/>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sz w:val="24"/>
                <w:szCs w:val="24"/>
                <w:lang w:val="en-US" w:eastAsia="zh-CN"/>
              </w:rPr>
              <w:t>脉冲能量：1J-3J，可调</w:t>
            </w:r>
          </w:p>
        </w:tc>
      </w:tr>
      <w:tr w14:paraId="052A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21081CD0">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2.6</w:t>
            </w:r>
          </w:p>
        </w:tc>
        <w:tc>
          <w:tcPr>
            <w:tcW w:w="4538" w:type="pct"/>
            <w:gridSpan w:val="2"/>
            <w:shd w:val="clear" w:color="auto" w:fill="auto"/>
            <w:vAlign w:val="top"/>
          </w:tcPr>
          <w:p w14:paraId="30D8AE85">
            <w:pPr>
              <w:ind w:right="44" w:rightChars="21"/>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lang w:val="zh-CN"/>
              </w:rPr>
              <w:t>控制能量稳定功能，使激光能量输出不稳定度：≤</w:t>
            </w:r>
            <w:r>
              <w:rPr>
                <w:rFonts w:hint="eastAsia" w:ascii="宋体" w:hAnsi="宋体" w:eastAsia="宋体" w:cs="宋体"/>
                <w:color w:val="auto"/>
                <w:sz w:val="24"/>
                <w:szCs w:val="24"/>
              </w:rPr>
              <w:t>±5%</w:t>
            </w:r>
          </w:p>
        </w:tc>
      </w:tr>
      <w:tr w14:paraId="36F5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DA404F5">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2.7</w:t>
            </w:r>
          </w:p>
        </w:tc>
        <w:tc>
          <w:tcPr>
            <w:tcW w:w="4538" w:type="pct"/>
            <w:gridSpan w:val="2"/>
            <w:shd w:val="clear" w:color="auto" w:fill="auto"/>
            <w:vAlign w:val="top"/>
          </w:tcPr>
          <w:p w14:paraId="79E8B3FE">
            <w:pPr>
              <w:ind w:right="44" w:rightChars="21"/>
              <w:rPr>
                <w:rFonts w:hint="eastAsia" w:ascii="宋体" w:hAnsi="宋体" w:eastAsia="宋体" w:cs="宋体"/>
                <w:bCs/>
                <w:strike/>
                <w:dstrike w:val="0"/>
                <w:color w:val="auto"/>
                <w:kern w:val="2"/>
                <w:sz w:val="24"/>
                <w:szCs w:val="24"/>
                <w:highlight w:val="none"/>
                <w:lang w:val="en-US" w:eastAsia="zh-CN" w:bidi="ar-SA"/>
              </w:rPr>
            </w:pPr>
            <w:r>
              <w:rPr>
                <w:rFonts w:hint="eastAsia" w:ascii="宋体" w:hAnsi="宋体" w:eastAsia="宋体" w:cs="宋体"/>
                <w:color w:val="auto"/>
                <w:sz w:val="24"/>
                <w:szCs w:val="24"/>
              </w:rPr>
              <w:t>功率复现性：≤±5%</w:t>
            </w:r>
          </w:p>
        </w:tc>
      </w:tr>
      <w:tr w14:paraId="5AB2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034CCBF9">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2.8</w:t>
            </w:r>
          </w:p>
        </w:tc>
        <w:tc>
          <w:tcPr>
            <w:tcW w:w="4538" w:type="pct"/>
            <w:gridSpan w:val="2"/>
            <w:shd w:val="clear" w:color="auto" w:fill="auto"/>
            <w:vAlign w:val="top"/>
          </w:tcPr>
          <w:p w14:paraId="43CC8090">
            <w:pPr>
              <w:ind w:right="44" w:rightChars="21"/>
              <w:rPr>
                <w:rFonts w:hint="eastAsia" w:ascii="宋体" w:hAnsi="宋体" w:eastAsia="宋体" w:cs="宋体"/>
                <w:bCs/>
                <w:strike/>
                <w:dstrike w:val="0"/>
                <w:color w:val="auto"/>
                <w:kern w:val="2"/>
                <w:sz w:val="24"/>
                <w:szCs w:val="24"/>
                <w:lang w:val="en-US" w:eastAsia="zh-CN" w:bidi="ar-SA"/>
              </w:rPr>
            </w:pPr>
            <w:r>
              <w:rPr>
                <w:rFonts w:hint="eastAsia" w:ascii="宋体" w:hAnsi="宋体" w:eastAsia="宋体" w:cs="宋体"/>
                <w:color w:val="auto"/>
                <w:sz w:val="24"/>
                <w:szCs w:val="24"/>
                <w:lang w:val="zh-CN"/>
              </w:rPr>
              <w:t>光纤末端</w:t>
            </w:r>
            <w:r>
              <w:rPr>
                <w:rFonts w:hint="eastAsia" w:ascii="宋体" w:hAnsi="宋体" w:eastAsia="宋体" w:cs="宋体"/>
                <w:color w:val="auto"/>
                <w:sz w:val="24"/>
                <w:szCs w:val="24"/>
                <w:lang w:val="en-US" w:eastAsia="zh-CN"/>
              </w:rPr>
              <w:t>最大</w:t>
            </w:r>
            <w:r>
              <w:rPr>
                <w:rFonts w:hint="eastAsia" w:ascii="宋体" w:hAnsi="宋体" w:eastAsia="宋体" w:cs="宋体"/>
                <w:color w:val="auto"/>
                <w:sz w:val="24"/>
                <w:szCs w:val="24"/>
                <w:lang w:val="zh-CN"/>
              </w:rPr>
              <w:t>单脉冲能量：≥</w:t>
            </w:r>
            <w:r>
              <w:rPr>
                <w:rFonts w:hint="eastAsia" w:ascii="宋体" w:hAnsi="宋体" w:eastAsia="宋体" w:cs="宋体"/>
                <w:color w:val="auto"/>
                <w:sz w:val="24"/>
                <w:szCs w:val="24"/>
                <w:lang w:val="en-US" w:eastAsia="zh-CN"/>
              </w:rPr>
              <w:t>3J</w:t>
            </w:r>
            <w:r>
              <w:rPr>
                <w:rFonts w:hint="eastAsia" w:ascii="宋体" w:hAnsi="宋体" w:eastAsia="宋体" w:cs="宋体"/>
                <w:color w:val="auto"/>
                <w:sz w:val="24"/>
                <w:szCs w:val="24"/>
                <w:lang w:val="zh-CN"/>
              </w:rPr>
              <w:t>可调</w:t>
            </w:r>
          </w:p>
        </w:tc>
      </w:tr>
      <w:tr w14:paraId="7E8D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061EB4F0">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2.9</w:t>
            </w:r>
          </w:p>
        </w:tc>
        <w:tc>
          <w:tcPr>
            <w:tcW w:w="4538" w:type="pct"/>
            <w:gridSpan w:val="2"/>
            <w:shd w:val="clear" w:color="auto" w:fill="auto"/>
            <w:vAlign w:val="top"/>
          </w:tcPr>
          <w:p w14:paraId="7E54EB38">
            <w:pPr>
              <w:ind w:right="44" w:rightChars="21"/>
              <w:rPr>
                <w:rFonts w:hint="eastAsia" w:ascii="宋体" w:hAnsi="宋体" w:eastAsia="宋体" w:cs="宋体"/>
                <w:bCs/>
                <w:color w:val="auto"/>
                <w:kern w:val="2"/>
                <w:sz w:val="24"/>
                <w:szCs w:val="24"/>
                <w:highlight w:val="yellow"/>
                <w:lang w:val="en-US" w:eastAsia="zh-CN" w:bidi="ar-SA"/>
              </w:rPr>
            </w:pPr>
            <w:r>
              <w:rPr>
                <w:rFonts w:hint="eastAsia" w:ascii="宋体" w:hAnsi="宋体" w:eastAsia="宋体" w:cs="宋体"/>
                <w:color w:val="auto"/>
                <w:sz w:val="24"/>
                <w:szCs w:val="24"/>
              </w:rPr>
              <w:t>工作频率：1 Hz -20Hz，可调</w:t>
            </w:r>
          </w:p>
        </w:tc>
      </w:tr>
      <w:tr w14:paraId="169B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4852853">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2.10</w:t>
            </w:r>
          </w:p>
        </w:tc>
        <w:tc>
          <w:tcPr>
            <w:tcW w:w="4538" w:type="pct"/>
            <w:gridSpan w:val="2"/>
            <w:shd w:val="clear" w:color="auto" w:fill="auto"/>
            <w:vAlign w:val="top"/>
          </w:tcPr>
          <w:p w14:paraId="1A9AB650">
            <w:pPr>
              <w:ind w:right="44" w:rightChars="21"/>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lang w:val="zh-CN"/>
              </w:rPr>
              <w:t>光纤终端输出平均功率</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30W</w:t>
            </w:r>
          </w:p>
        </w:tc>
      </w:tr>
      <w:tr w14:paraId="4A72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1814243E">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2.11</w:t>
            </w:r>
          </w:p>
        </w:tc>
        <w:tc>
          <w:tcPr>
            <w:tcW w:w="4538" w:type="pct"/>
            <w:gridSpan w:val="2"/>
            <w:shd w:val="clear" w:color="auto" w:fill="auto"/>
            <w:vAlign w:val="top"/>
          </w:tcPr>
          <w:p w14:paraId="5249CBEA">
            <w:pPr>
              <w:ind w:right="44" w:rightChars="21"/>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rPr>
              <w:t>脉冲宽度：脉宽</w:t>
            </w:r>
            <w:r>
              <w:rPr>
                <w:rFonts w:hint="eastAsia" w:ascii="宋体" w:hAnsi="宋体" w:eastAsia="宋体" w:cs="宋体"/>
                <w:color w:val="auto"/>
                <w:sz w:val="24"/>
                <w:szCs w:val="24"/>
                <w:lang w:val="en-US" w:eastAsia="zh-CN"/>
              </w:rPr>
              <w:t>300</w:t>
            </w:r>
            <w:r>
              <w:rPr>
                <w:rFonts w:hint="eastAsia" w:ascii="宋体" w:hAnsi="宋体" w:eastAsia="宋体" w:cs="宋体"/>
                <w:color w:val="auto"/>
                <w:sz w:val="24"/>
                <w:szCs w:val="24"/>
              </w:rPr>
              <w:t>us-</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00us</w:t>
            </w:r>
          </w:p>
        </w:tc>
      </w:tr>
      <w:tr w14:paraId="43D4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6BD3A0D">
            <w:pPr>
              <w:ind w:right="-340" w:rightChars="-162" w:firstLine="240" w:firstLineChars="100"/>
              <w:jc w:val="both"/>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2.12</w:t>
            </w:r>
          </w:p>
        </w:tc>
        <w:tc>
          <w:tcPr>
            <w:tcW w:w="4538" w:type="pct"/>
            <w:gridSpan w:val="2"/>
            <w:shd w:val="clear" w:color="auto" w:fill="auto"/>
            <w:vAlign w:val="top"/>
          </w:tcPr>
          <w:p w14:paraId="743BC043">
            <w:pPr>
              <w:ind w:right="44" w:rightChars="21"/>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color w:val="auto"/>
                <w:sz w:val="24"/>
                <w:szCs w:val="24"/>
                <w:lang w:val="en-US" w:eastAsia="zh-CN"/>
              </w:rPr>
              <w:t>重复频率：1Hz-20Hz，可调</w:t>
            </w:r>
          </w:p>
        </w:tc>
      </w:tr>
      <w:tr w14:paraId="2C2E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6A46C651">
            <w:pPr>
              <w:ind w:right="-340" w:rightChars="-162" w:firstLine="240" w:firstLineChars="100"/>
              <w:jc w:val="both"/>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b w:val="0"/>
                <w:bCs/>
                <w:color w:val="auto"/>
                <w:kern w:val="2"/>
                <w:sz w:val="24"/>
                <w:szCs w:val="24"/>
                <w:vertAlign w:val="baseline"/>
                <w:lang w:val="en-US" w:eastAsia="zh-CN" w:bidi="ar-SA"/>
              </w:rPr>
              <w:t>2.13</w:t>
            </w:r>
          </w:p>
        </w:tc>
        <w:tc>
          <w:tcPr>
            <w:tcW w:w="4538" w:type="pct"/>
            <w:gridSpan w:val="2"/>
            <w:shd w:val="clear" w:color="auto" w:fill="auto"/>
            <w:vAlign w:val="top"/>
          </w:tcPr>
          <w:p w14:paraId="2B64652C">
            <w:pPr>
              <w:ind w:right="44" w:rightChars="2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zh-CN"/>
              </w:rPr>
              <w:t>控制方式：大屏幕彩色液晶显示，触摸屏控制，</w:t>
            </w:r>
            <w:r>
              <w:rPr>
                <w:rFonts w:hint="eastAsia" w:ascii="宋体" w:hAnsi="宋体" w:eastAsia="宋体" w:cs="宋体"/>
                <w:color w:val="auto"/>
                <w:sz w:val="24"/>
                <w:szCs w:val="24"/>
                <w:lang w:val="en-US" w:eastAsia="zh-CN"/>
              </w:rPr>
              <w:t>操作面板可调节工作参数</w:t>
            </w:r>
          </w:p>
        </w:tc>
      </w:tr>
      <w:tr w14:paraId="6EA2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52B73374">
            <w:pPr>
              <w:ind w:right="-340" w:rightChars="-162" w:firstLine="240" w:firstLineChars="100"/>
              <w:jc w:val="both"/>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b w:val="0"/>
                <w:bCs/>
                <w:color w:val="auto"/>
                <w:kern w:val="2"/>
                <w:sz w:val="24"/>
                <w:szCs w:val="24"/>
                <w:vertAlign w:val="baseline"/>
                <w:lang w:val="en-US" w:eastAsia="zh-CN" w:bidi="ar-SA"/>
              </w:rPr>
              <w:t>2.14</w:t>
            </w:r>
          </w:p>
        </w:tc>
        <w:tc>
          <w:tcPr>
            <w:tcW w:w="4538" w:type="pct"/>
            <w:gridSpan w:val="2"/>
            <w:shd w:val="clear" w:color="auto" w:fill="auto"/>
            <w:vAlign w:val="top"/>
          </w:tcPr>
          <w:p w14:paraId="076F31F4">
            <w:pPr>
              <w:ind w:right="44" w:rightChars="21"/>
              <w:rPr>
                <w:rFonts w:hint="eastAsia" w:ascii="宋体" w:hAnsi="宋体" w:eastAsia="宋体" w:cs="宋体"/>
                <w:bCs/>
                <w:color w:val="auto"/>
                <w:kern w:val="2"/>
                <w:sz w:val="24"/>
                <w:szCs w:val="24"/>
                <w:highlight w:val="yellow"/>
                <w:lang w:val="en-US" w:eastAsia="zh-CN" w:bidi="ar-SA"/>
              </w:rPr>
            </w:pPr>
            <w:r>
              <w:rPr>
                <w:rFonts w:hint="eastAsia" w:ascii="宋体" w:hAnsi="宋体" w:eastAsia="宋体" w:cs="宋体"/>
                <w:color w:val="auto"/>
                <w:sz w:val="24"/>
                <w:szCs w:val="24"/>
                <w:lang w:val="en-US" w:eastAsia="zh-CN"/>
              </w:rPr>
              <w:t>具有</w:t>
            </w:r>
            <w:r>
              <w:rPr>
                <w:rFonts w:hint="eastAsia" w:ascii="宋体" w:hAnsi="宋体" w:eastAsia="宋体" w:cs="宋体"/>
                <w:color w:val="auto"/>
                <w:sz w:val="24"/>
                <w:szCs w:val="24"/>
              </w:rPr>
              <w:t>光纤工作温度显示</w:t>
            </w:r>
            <w:r>
              <w:rPr>
                <w:rFonts w:hint="eastAsia" w:ascii="宋体" w:hAnsi="宋体" w:eastAsia="宋体" w:cs="宋体"/>
                <w:color w:val="auto"/>
                <w:sz w:val="24"/>
                <w:szCs w:val="24"/>
                <w:lang w:val="en-US" w:eastAsia="zh-CN"/>
              </w:rPr>
              <w:t>功能</w:t>
            </w:r>
            <w:r>
              <w:rPr>
                <w:rFonts w:hint="eastAsia" w:ascii="宋体" w:hAnsi="宋体" w:eastAsia="宋体" w:cs="宋体"/>
                <w:color w:val="auto"/>
                <w:sz w:val="24"/>
                <w:szCs w:val="24"/>
              </w:rPr>
              <w:t>：显示屏可显示光纤实时工作温度，光纤端面工作时温度升高具有报警提示功能</w:t>
            </w:r>
          </w:p>
        </w:tc>
      </w:tr>
      <w:tr w14:paraId="244A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677DA0B3">
            <w:pPr>
              <w:ind w:right="-340" w:rightChars="-162" w:firstLine="240" w:firstLineChars="100"/>
              <w:jc w:val="both"/>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b w:val="0"/>
                <w:bCs/>
                <w:color w:val="auto"/>
                <w:kern w:val="2"/>
                <w:sz w:val="24"/>
                <w:szCs w:val="24"/>
                <w:vertAlign w:val="baseline"/>
                <w:lang w:val="en-US" w:eastAsia="zh-CN" w:bidi="ar-SA"/>
              </w:rPr>
              <w:t>2.15</w:t>
            </w:r>
          </w:p>
        </w:tc>
        <w:tc>
          <w:tcPr>
            <w:tcW w:w="4538" w:type="pct"/>
            <w:gridSpan w:val="2"/>
            <w:shd w:val="clear" w:color="auto" w:fill="auto"/>
            <w:vAlign w:val="top"/>
          </w:tcPr>
          <w:p w14:paraId="30761D63">
            <w:pPr>
              <w:ind w:right="44" w:rightChars="21"/>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rPr>
              <w:t>激光耦合保护系统：可不拆机器更换激光器保护镜，用于保护激光器光路，能有效防止激光器功率衰减</w:t>
            </w:r>
          </w:p>
        </w:tc>
      </w:tr>
      <w:tr w14:paraId="60136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23F3F7AF">
            <w:pPr>
              <w:ind w:right="-340" w:rightChars="-162" w:firstLine="240" w:firstLineChars="100"/>
              <w:jc w:val="both"/>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b w:val="0"/>
                <w:bCs/>
                <w:color w:val="auto"/>
                <w:kern w:val="2"/>
                <w:sz w:val="24"/>
                <w:szCs w:val="24"/>
                <w:vertAlign w:val="baseline"/>
                <w:lang w:val="en-US" w:eastAsia="zh-CN" w:bidi="ar-SA"/>
              </w:rPr>
              <w:t>2.16</w:t>
            </w:r>
          </w:p>
        </w:tc>
        <w:tc>
          <w:tcPr>
            <w:tcW w:w="4538" w:type="pct"/>
            <w:gridSpan w:val="2"/>
            <w:shd w:val="clear" w:color="auto" w:fill="auto"/>
            <w:vAlign w:val="top"/>
          </w:tcPr>
          <w:p w14:paraId="2819C449">
            <w:pPr>
              <w:ind w:right="44" w:rightChars="21"/>
              <w:jc w:val="both"/>
              <w:rPr>
                <w:rFonts w:hint="eastAsia" w:ascii="宋体" w:hAnsi="宋体" w:eastAsia="宋体" w:cs="宋体"/>
                <w:b/>
                <w:bCs w:val="0"/>
                <w:color w:val="auto"/>
                <w:kern w:val="2"/>
                <w:sz w:val="24"/>
                <w:szCs w:val="24"/>
                <w:vertAlign w:val="baseline"/>
                <w:lang w:val="en-US" w:eastAsia="zh-CN" w:bidi="ar-SA"/>
              </w:rPr>
            </w:pPr>
            <w:r>
              <w:rPr>
                <w:rFonts w:hint="eastAsia" w:ascii="宋体" w:hAnsi="宋体" w:eastAsia="宋体" w:cs="宋体"/>
                <w:color w:val="auto"/>
                <w:sz w:val="24"/>
                <w:szCs w:val="24"/>
                <w:lang w:val="en-US" w:eastAsia="zh-CN"/>
              </w:rPr>
              <w:t>具有专家数据库，可供治疗参考</w:t>
            </w:r>
          </w:p>
        </w:tc>
      </w:tr>
      <w:tr w14:paraId="3CF3C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40B69984">
            <w:pPr>
              <w:ind w:right="-340" w:rightChars="-162" w:firstLine="240" w:firstLineChars="100"/>
              <w:jc w:val="both"/>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b w:val="0"/>
                <w:bCs/>
                <w:color w:val="auto"/>
                <w:kern w:val="2"/>
                <w:sz w:val="24"/>
                <w:szCs w:val="24"/>
                <w:vertAlign w:val="baseline"/>
                <w:lang w:val="en-US" w:eastAsia="zh-CN" w:bidi="ar-SA"/>
              </w:rPr>
              <w:t>2.17</w:t>
            </w:r>
          </w:p>
        </w:tc>
        <w:tc>
          <w:tcPr>
            <w:tcW w:w="4538" w:type="pct"/>
            <w:gridSpan w:val="2"/>
            <w:shd w:val="clear" w:color="auto" w:fill="auto"/>
            <w:vAlign w:val="top"/>
          </w:tcPr>
          <w:p w14:paraId="76722432">
            <w:pPr>
              <w:ind w:right="44" w:rightChars="21"/>
              <w:jc w:val="both"/>
              <w:rPr>
                <w:rFonts w:hint="eastAsia" w:ascii="宋体" w:hAnsi="宋体" w:eastAsia="宋体" w:cs="宋体"/>
                <w:b/>
                <w:bCs w:val="0"/>
                <w:color w:val="auto"/>
                <w:kern w:val="2"/>
                <w:sz w:val="24"/>
                <w:szCs w:val="24"/>
                <w:vertAlign w:val="baseline"/>
                <w:lang w:val="en-US" w:eastAsia="zh-CN" w:bidi="ar-SA"/>
              </w:rPr>
            </w:pPr>
            <w:r>
              <w:rPr>
                <w:rFonts w:hint="eastAsia" w:ascii="宋体" w:hAnsi="宋体" w:eastAsia="宋体" w:cs="宋体"/>
                <w:color w:val="auto"/>
                <w:sz w:val="24"/>
                <w:szCs w:val="24"/>
              </w:rPr>
              <w:t>冷却方式：密封循环水冷</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压缩机制冷，</w:t>
            </w:r>
            <w:r>
              <w:rPr>
                <w:rFonts w:hint="eastAsia" w:ascii="宋体" w:hAnsi="宋体" w:eastAsia="宋体" w:cs="宋体"/>
                <w:color w:val="auto"/>
                <w:sz w:val="24"/>
                <w:szCs w:val="24"/>
                <w:lang w:val="zh-CN"/>
              </w:rPr>
              <w:t>无氟环保</w:t>
            </w:r>
          </w:p>
        </w:tc>
      </w:tr>
      <w:tr w14:paraId="54F3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3BDA945C">
            <w:pPr>
              <w:ind w:right="-340" w:rightChars="-162" w:firstLine="240" w:firstLineChars="100"/>
              <w:jc w:val="both"/>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b w:val="0"/>
                <w:bCs/>
                <w:color w:val="auto"/>
                <w:kern w:val="2"/>
                <w:sz w:val="24"/>
                <w:szCs w:val="24"/>
                <w:vertAlign w:val="baseline"/>
                <w:lang w:val="en-US" w:eastAsia="zh-CN" w:bidi="ar-SA"/>
              </w:rPr>
              <w:t>2.18</w:t>
            </w:r>
          </w:p>
        </w:tc>
        <w:tc>
          <w:tcPr>
            <w:tcW w:w="4538" w:type="pct"/>
            <w:gridSpan w:val="2"/>
            <w:shd w:val="clear" w:color="auto" w:fill="auto"/>
            <w:vAlign w:val="top"/>
          </w:tcPr>
          <w:p w14:paraId="29690451">
            <w:pPr>
              <w:ind w:right="44" w:rightChars="21"/>
              <w:jc w:val="both"/>
              <w:rPr>
                <w:rFonts w:hint="eastAsia" w:ascii="宋体" w:hAnsi="宋体" w:eastAsia="宋体" w:cs="宋体"/>
                <w:b/>
                <w:bCs w:val="0"/>
                <w:color w:val="auto"/>
                <w:kern w:val="2"/>
                <w:sz w:val="24"/>
                <w:szCs w:val="24"/>
                <w:vertAlign w:val="baseline"/>
                <w:lang w:val="en-US" w:eastAsia="zh-CN" w:bidi="ar-SA"/>
              </w:rPr>
            </w:pPr>
            <w:r>
              <w:rPr>
                <w:rFonts w:hint="eastAsia" w:ascii="宋体" w:hAnsi="宋体" w:eastAsia="宋体" w:cs="宋体"/>
                <w:color w:val="auto"/>
                <w:sz w:val="24"/>
                <w:szCs w:val="24"/>
              </w:rPr>
              <w:t>产品使用寿命≥10年</w:t>
            </w:r>
          </w:p>
        </w:tc>
      </w:tr>
      <w:tr w14:paraId="6D9D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4FF3356E">
            <w:pPr>
              <w:ind w:right="-340" w:rightChars="-162" w:firstLine="241" w:firstLineChars="100"/>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b/>
                <w:bCs w:val="0"/>
                <w:sz w:val="24"/>
                <w:szCs w:val="24"/>
                <w:vertAlign w:val="baseline"/>
                <w:lang w:val="en-US" w:eastAsia="zh-CN"/>
              </w:rPr>
              <w:t>三</w:t>
            </w:r>
          </w:p>
        </w:tc>
        <w:tc>
          <w:tcPr>
            <w:tcW w:w="4538" w:type="pct"/>
            <w:gridSpan w:val="2"/>
            <w:vAlign w:val="top"/>
          </w:tcPr>
          <w:p w14:paraId="0D8894C6">
            <w:pPr>
              <w:ind w:right="-340" w:rightChars="-162"/>
              <w:jc w:val="center"/>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b/>
                <w:bCs w:val="0"/>
                <w:sz w:val="24"/>
                <w:szCs w:val="24"/>
                <w:vertAlign w:val="baseline"/>
                <w:lang w:val="en-US" w:eastAsia="zh-CN"/>
              </w:rPr>
              <w:t>主要配置及附件</w:t>
            </w:r>
          </w:p>
        </w:tc>
      </w:tr>
      <w:tr w14:paraId="7FCC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8730997">
            <w:pPr>
              <w:ind w:right="-340" w:rightChars="-162" w:firstLine="240" w:firstLineChars="100"/>
              <w:jc w:val="both"/>
              <w:rPr>
                <w:rFonts w:hint="eastAsia" w:ascii="宋体" w:hAnsi="宋体" w:eastAsia="宋体" w:cs="宋体"/>
                <w:b w:val="0"/>
                <w:bCs/>
                <w:kern w:val="2"/>
                <w:sz w:val="24"/>
                <w:szCs w:val="24"/>
                <w:vertAlign w:val="baseline"/>
                <w:lang w:val="en-US" w:eastAsia="zh-CN" w:bidi="ar-SA"/>
              </w:rPr>
            </w:pPr>
            <w:r>
              <w:rPr>
                <w:rFonts w:hint="eastAsia" w:ascii="宋体" w:hAnsi="宋体" w:eastAsia="宋体" w:cs="宋体"/>
                <w:b w:val="0"/>
                <w:bCs/>
                <w:sz w:val="24"/>
                <w:szCs w:val="24"/>
                <w:vertAlign w:val="baseline"/>
                <w:lang w:val="en-US" w:eastAsia="zh-CN"/>
              </w:rPr>
              <w:t>3.1</w:t>
            </w:r>
          </w:p>
        </w:tc>
        <w:tc>
          <w:tcPr>
            <w:tcW w:w="4538" w:type="pct"/>
            <w:gridSpan w:val="2"/>
            <w:shd w:val="clear" w:color="auto" w:fill="auto"/>
            <w:vAlign w:val="top"/>
          </w:tcPr>
          <w:p w14:paraId="12F10FAB">
            <w:pPr>
              <w:ind w:right="55" w:rightChars="26"/>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bCs/>
                <w:sz w:val="24"/>
                <w:szCs w:val="24"/>
                <w:lang w:val="en-US" w:eastAsia="zh-CN"/>
              </w:rPr>
              <w:t>医用钬激光治疗机主机（含软件）  1台</w:t>
            </w:r>
          </w:p>
        </w:tc>
      </w:tr>
      <w:tr w14:paraId="4032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F11C9A9">
            <w:pPr>
              <w:ind w:right="-340" w:rightChars="-162" w:firstLine="240" w:firstLineChars="100"/>
              <w:jc w:val="both"/>
              <w:rPr>
                <w:rFonts w:hint="eastAsia" w:ascii="宋体" w:hAnsi="宋体" w:eastAsia="宋体" w:cs="宋体"/>
                <w:b w:val="0"/>
                <w:bCs/>
                <w:kern w:val="2"/>
                <w:sz w:val="24"/>
                <w:szCs w:val="24"/>
                <w:vertAlign w:val="baseline"/>
                <w:lang w:val="en-US" w:eastAsia="zh-CN" w:bidi="ar-SA"/>
              </w:rPr>
            </w:pPr>
            <w:r>
              <w:rPr>
                <w:rFonts w:hint="eastAsia" w:ascii="宋体" w:hAnsi="宋体" w:eastAsia="宋体" w:cs="宋体"/>
                <w:b w:val="0"/>
                <w:bCs/>
                <w:sz w:val="24"/>
                <w:szCs w:val="24"/>
                <w:vertAlign w:val="baseline"/>
                <w:lang w:val="en-US" w:eastAsia="zh-CN"/>
              </w:rPr>
              <w:t>3.2</w:t>
            </w:r>
          </w:p>
        </w:tc>
        <w:tc>
          <w:tcPr>
            <w:tcW w:w="4538" w:type="pct"/>
            <w:gridSpan w:val="2"/>
            <w:shd w:val="clear" w:color="auto" w:fill="auto"/>
            <w:vAlign w:val="top"/>
          </w:tcPr>
          <w:p w14:paraId="29DA0032">
            <w:pPr>
              <w:ind w:right="55" w:rightChars="26"/>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bCs/>
                <w:sz w:val="24"/>
                <w:szCs w:val="24"/>
                <w:lang w:val="en-US" w:eastAsia="zh-CN"/>
              </w:rPr>
              <w:t>脚踏开关  1件</w:t>
            </w:r>
          </w:p>
        </w:tc>
      </w:tr>
      <w:tr w14:paraId="0E7E8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D305BD6">
            <w:pPr>
              <w:ind w:right="-340" w:rightChars="-162" w:firstLine="240" w:firstLineChars="100"/>
              <w:jc w:val="both"/>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3.3</w:t>
            </w:r>
          </w:p>
        </w:tc>
        <w:tc>
          <w:tcPr>
            <w:tcW w:w="4538" w:type="pct"/>
            <w:gridSpan w:val="2"/>
            <w:shd w:val="clear" w:color="auto" w:fill="auto"/>
            <w:vAlign w:val="top"/>
          </w:tcPr>
          <w:p w14:paraId="150AACC9">
            <w:pPr>
              <w:ind w:right="55" w:rightChars="26"/>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sz w:val="24"/>
                <w:szCs w:val="24"/>
              </w:rPr>
              <w:t>钬激光专用光纤</w:t>
            </w:r>
            <w:bookmarkStart w:id="0" w:name="OLE_LINK2"/>
            <w:r>
              <w:rPr>
                <w:rFonts w:hint="eastAsia" w:ascii="宋体" w:hAnsi="宋体" w:eastAsia="宋体" w:cs="宋体"/>
                <w:sz w:val="24"/>
                <w:szCs w:val="24"/>
              </w:rPr>
              <w:t>≥</w:t>
            </w:r>
            <w:bookmarkEnd w:id="0"/>
            <w:r>
              <w:rPr>
                <w:rFonts w:hint="eastAsia" w:ascii="宋体" w:hAnsi="宋体" w:eastAsia="宋体" w:cs="宋体"/>
                <w:sz w:val="24"/>
                <w:szCs w:val="24"/>
              </w:rPr>
              <w:t>2根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w:t>
            </w:r>
            <w:bookmarkStart w:id="1" w:name="OLE_LINK7"/>
            <w:bookmarkStart w:id="2" w:name="OLE_LINK6"/>
            <w:r>
              <w:rPr>
                <w:rFonts w:hint="eastAsia" w:ascii="宋体" w:hAnsi="宋体" w:eastAsia="宋体" w:cs="宋体"/>
                <w:sz w:val="24"/>
                <w:szCs w:val="24"/>
              </w:rPr>
              <w:t>200μm</w:t>
            </w:r>
            <w:bookmarkEnd w:id="1"/>
            <w:bookmarkEnd w:id="2"/>
            <w:r>
              <w:rPr>
                <w:rFonts w:hint="eastAsia" w:ascii="宋体" w:hAnsi="宋体" w:eastAsia="宋体" w:cs="宋体"/>
                <w:sz w:val="24"/>
                <w:szCs w:val="24"/>
                <w:lang w:eastAsia="zh-CN"/>
              </w:rPr>
              <w:t>）</w:t>
            </w:r>
          </w:p>
        </w:tc>
      </w:tr>
      <w:tr w14:paraId="2913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1C2E336A">
            <w:pPr>
              <w:ind w:right="-340" w:rightChars="-162" w:firstLine="240" w:firstLineChars="100"/>
              <w:jc w:val="both"/>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3.4</w:t>
            </w:r>
          </w:p>
        </w:tc>
        <w:tc>
          <w:tcPr>
            <w:tcW w:w="4538" w:type="pct"/>
            <w:gridSpan w:val="2"/>
            <w:shd w:val="clear" w:color="auto" w:fill="auto"/>
            <w:vAlign w:val="top"/>
          </w:tcPr>
          <w:p w14:paraId="535982A2">
            <w:pPr>
              <w:ind w:right="55" w:rightChars="26"/>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bCs/>
                <w:sz w:val="24"/>
                <w:szCs w:val="24"/>
                <w:lang w:val="en-US" w:eastAsia="zh-CN"/>
              </w:rPr>
              <w:t>光纤切割剥削专用工具≥1套</w:t>
            </w:r>
          </w:p>
        </w:tc>
      </w:tr>
      <w:tr w14:paraId="086A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F529F7E">
            <w:pPr>
              <w:ind w:right="-340" w:rightChars="-162" w:firstLine="240" w:firstLineChars="100"/>
              <w:jc w:val="both"/>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3.5</w:t>
            </w:r>
          </w:p>
        </w:tc>
        <w:tc>
          <w:tcPr>
            <w:tcW w:w="4538" w:type="pct"/>
            <w:gridSpan w:val="2"/>
            <w:shd w:val="clear" w:color="auto" w:fill="auto"/>
            <w:vAlign w:val="top"/>
          </w:tcPr>
          <w:p w14:paraId="3FEF298D">
            <w:pPr>
              <w:ind w:right="55" w:rightChars="26"/>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sz w:val="24"/>
                <w:szCs w:val="24"/>
              </w:rPr>
              <w:t>光纤检测镜≥1把</w:t>
            </w:r>
          </w:p>
        </w:tc>
      </w:tr>
      <w:tr w14:paraId="6BF0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011758A">
            <w:pPr>
              <w:ind w:right="-340" w:rightChars="-162" w:firstLine="240" w:firstLineChars="100"/>
              <w:jc w:val="both"/>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3.6</w:t>
            </w:r>
          </w:p>
        </w:tc>
        <w:tc>
          <w:tcPr>
            <w:tcW w:w="4538" w:type="pct"/>
            <w:gridSpan w:val="2"/>
            <w:shd w:val="clear" w:color="auto" w:fill="auto"/>
            <w:vAlign w:val="top"/>
          </w:tcPr>
          <w:p w14:paraId="2BC9BB78">
            <w:pPr>
              <w:ind w:right="55" w:rightChars="26"/>
              <w:jc w:val="both"/>
              <w:rPr>
                <w:rFonts w:hint="eastAsia" w:ascii="宋体" w:hAnsi="宋体" w:eastAsia="宋体" w:cs="宋体"/>
                <w:b/>
                <w:bCs w:val="0"/>
                <w:kern w:val="2"/>
                <w:sz w:val="24"/>
                <w:szCs w:val="24"/>
                <w:vertAlign w:val="baseline"/>
                <w:lang w:val="en-US" w:eastAsia="zh-CN" w:bidi="ar-SA"/>
              </w:rPr>
            </w:pPr>
            <w:r>
              <w:rPr>
                <w:rFonts w:hint="eastAsia" w:ascii="宋体" w:hAnsi="宋体" w:eastAsia="宋体" w:cs="宋体"/>
                <w:sz w:val="24"/>
                <w:szCs w:val="24"/>
              </w:rPr>
              <w:t>激光防护镜≥1副</w:t>
            </w:r>
            <w:r>
              <w:rPr>
                <w:rFonts w:hint="eastAsia" w:ascii="宋体" w:hAnsi="宋体" w:eastAsia="宋体" w:cs="宋体"/>
                <w:b/>
                <w:bCs w:val="0"/>
                <w:color w:val="auto"/>
                <w:sz w:val="24"/>
                <w:szCs w:val="24"/>
                <w:vertAlign w:val="baseline"/>
                <w:lang w:val="en-US" w:eastAsia="zh-CN"/>
              </w:rPr>
              <w:t xml:space="preserve">                        </w:t>
            </w:r>
          </w:p>
        </w:tc>
      </w:tr>
      <w:tr w14:paraId="3689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E042530">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bookmarkStart w:id="3" w:name="_GoBack"/>
            <w:bookmarkEnd w:id="3"/>
            <w:r>
              <w:rPr>
                <w:rFonts w:hint="eastAsia" w:asciiTheme="majorEastAsia" w:hAnsiTheme="majorEastAsia" w:eastAsiaTheme="majorEastAsia"/>
                <w:b w:val="0"/>
                <w:bCs/>
                <w:sz w:val="24"/>
                <w:szCs w:val="24"/>
                <w:vertAlign w:val="baseline"/>
                <w:lang w:val="en-US" w:eastAsia="zh-CN"/>
              </w:rPr>
              <w:t>四</w:t>
            </w:r>
          </w:p>
        </w:tc>
        <w:tc>
          <w:tcPr>
            <w:tcW w:w="4538" w:type="pct"/>
            <w:gridSpan w:val="2"/>
            <w:vAlign w:val="top"/>
          </w:tcPr>
          <w:p w14:paraId="6B5D1721">
            <w:pPr>
              <w:ind w:right="-340" w:rightChars="-162"/>
              <w:jc w:val="center"/>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bCs w:val="0"/>
                <w:color w:val="auto"/>
                <w:kern w:val="2"/>
                <w:sz w:val="24"/>
                <w:szCs w:val="24"/>
                <w:vertAlign w:val="baseline"/>
                <w:lang w:val="en-US" w:eastAsia="zh-CN" w:bidi="ar-SA"/>
              </w:rPr>
              <w:t>售后服务要求</w:t>
            </w:r>
          </w:p>
        </w:tc>
      </w:tr>
      <w:tr w14:paraId="2276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5C72A73">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4.1</w:t>
            </w:r>
          </w:p>
        </w:tc>
        <w:tc>
          <w:tcPr>
            <w:tcW w:w="4538" w:type="pct"/>
            <w:gridSpan w:val="2"/>
            <w:vAlign w:val="top"/>
          </w:tcPr>
          <w:p w14:paraId="4BF3B875">
            <w:pPr>
              <w:ind w:right="-340" w:rightChars="-162"/>
              <w:jc w:val="both"/>
              <w:rPr>
                <w:rFonts w:hint="default" w:asciiTheme="majorEastAsia" w:hAnsiTheme="majorEastAsia" w:eastAsiaTheme="majorEastAsia" w:cstheme="minorBidi"/>
                <w:b/>
                <w:bCs w:val="0"/>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 xml:space="preserve">原厂质保期不少于（ 5 ）年                           </w:t>
            </w:r>
          </w:p>
        </w:tc>
      </w:tr>
      <w:tr w14:paraId="18905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ECF50F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4.2</w:t>
            </w:r>
          </w:p>
        </w:tc>
        <w:tc>
          <w:tcPr>
            <w:tcW w:w="4538" w:type="pct"/>
            <w:gridSpan w:val="2"/>
            <w:vAlign w:val="top"/>
          </w:tcPr>
          <w:p w14:paraId="04657750">
            <w:pPr>
              <w:ind w:right="42" w:rightChars="20"/>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宋体" w:hAnsi="宋体" w:eastAsia="宋体" w:cs="宋体"/>
                <w:sz w:val="24"/>
                <w:szCs w:val="24"/>
                <w:lang w:val="en-US" w:eastAsia="zh-CN"/>
              </w:rPr>
              <w:t>大型设备（单价≥10万元）、特种设备、强制计量设备、急救及生命支持类设备、院感及生物安全相关设备等，</w:t>
            </w:r>
            <w:r>
              <w:rPr>
                <w:rFonts w:hint="eastAsia" w:ascii="宋体" w:hAnsi="宋体" w:eastAsia="宋体" w:cs="宋体"/>
                <w:color w:val="auto"/>
                <w:sz w:val="24"/>
                <w:szCs w:val="24"/>
                <w:lang w:val="en-US" w:eastAsia="zh-CN"/>
              </w:rPr>
              <w:t>供应商应根据要求负责设备检测，</w:t>
            </w:r>
            <w:r>
              <w:rPr>
                <w:rFonts w:hint="eastAsia" w:ascii="宋体" w:hAnsi="宋体" w:eastAsia="宋体" w:cs="宋体"/>
                <w:sz w:val="24"/>
                <w:szCs w:val="24"/>
                <w:lang w:val="en-US" w:eastAsia="zh-CN"/>
              </w:rPr>
              <w:t>验收时需提供</w:t>
            </w:r>
            <w:r>
              <w:rPr>
                <w:rFonts w:hint="eastAsia" w:ascii="宋体" w:hAnsi="宋体" w:eastAsia="宋体" w:cs="宋体"/>
                <w:sz w:val="24"/>
                <w:szCs w:val="24"/>
                <w:highlight w:val="none"/>
                <w:lang w:val="en-US" w:eastAsia="zh-CN"/>
              </w:rPr>
              <w:t>经采购人认可的且具有资质的检测机构出具的</w:t>
            </w:r>
            <w:r>
              <w:rPr>
                <w:rFonts w:hint="eastAsia" w:ascii="宋体" w:hAnsi="宋体" w:eastAsia="宋体" w:cs="宋体"/>
                <w:sz w:val="24"/>
                <w:szCs w:val="24"/>
                <w:lang w:val="en-US" w:eastAsia="zh-CN"/>
              </w:rPr>
              <w:t>检测合格报告</w:t>
            </w:r>
          </w:p>
        </w:tc>
      </w:tr>
      <w:tr w14:paraId="0EA7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7D928CE4">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4.3</w:t>
            </w:r>
          </w:p>
        </w:tc>
        <w:tc>
          <w:tcPr>
            <w:tcW w:w="4538" w:type="pct"/>
            <w:gridSpan w:val="2"/>
            <w:vAlign w:val="top"/>
          </w:tcPr>
          <w:p w14:paraId="46580406">
            <w:pPr>
              <w:ind w:right="42" w:rightChars="20"/>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宋体" w:hAnsi="宋体" w:eastAsia="宋体" w:cs="宋体"/>
                <w:sz w:val="24"/>
                <w:szCs w:val="24"/>
                <w:lang w:val="en-US" w:eastAsia="zh-CN"/>
              </w:rPr>
              <w:t>设备实现与院内信息系统（如HIS、LIS、PACS等）的无缝对接，接入方案要求支持标准数据接口（如HL7、DICOM），并提供开放API文档，确保兼容性与数据互通</w:t>
            </w:r>
            <w:r>
              <w:rPr>
                <w:rFonts w:hint="eastAsia" w:ascii="宋体" w:hAnsi="宋体" w:eastAsia="宋体" w:cs="宋体"/>
                <w:sz w:val="24"/>
                <w:szCs w:val="24"/>
                <w:highlight w:val="none"/>
                <w:lang w:val="en-US" w:eastAsia="zh-CN"/>
              </w:rPr>
              <w:t>，同时，设备需支持远程监控与维护功能</w:t>
            </w:r>
            <w:r>
              <w:rPr>
                <w:rFonts w:hint="eastAsia" w:ascii="宋体" w:hAnsi="宋体" w:eastAsia="宋体" w:cs="宋体"/>
                <w:sz w:val="24"/>
                <w:szCs w:val="24"/>
                <w:lang w:val="en-US" w:eastAsia="zh-CN"/>
              </w:rPr>
              <w:t>，具备良好的扩展性以满足后续升级需求；提供对接方案；若设备有信息系统接口，全部免费开放（如需）</w:t>
            </w:r>
          </w:p>
        </w:tc>
      </w:tr>
      <w:tr w14:paraId="1B02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3123463">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4.4</w:t>
            </w:r>
          </w:p>
        </w:tc>
        <w:tc>
          <w:tcPr>
            <w:tcW w:w="4538" w:type="pct"/>
            <w:gridSpan w:val="2"/>
            <w:vAlign w:val="top"/>
          </w:tcPr>
          <w:p w14:paraId="5A02B1D8">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其他：</w:t>
            </w:r>
          </w:p>
        </w:tc>
      </w:tr>
      <w:tr w14:paraId="5F98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037FEA7">
            <w:pPr>
              <w:ind w:right="-340" w:rightChars="-162" w:firstLine="241"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五</w:t>
            </w:r>
          </w:p>
        </w:tc>
        <w:tc>
          <w:tcPr>
            <w:tcW w:w="4538" w:type="pct"/>
            <w:gridSpan w:val="2"/>
            <w:vAlign w:val="top"/>
          </w:tcPr>
          <w:p w14:paraId="64E64671">
            <w:pPr>
              <w:ind w:right="-340" w:rightChars="-162"/>
              <w:jc w:val="center"/>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bCs w:val="0"/>
                <w:color w:val="auto"/>
                <w:kern w:val="2"/>
                <w:sz w:val="24"/>
                <w:szCs w:val="24"/>
                <w:vertAlign w:val="baseline"/>
                <w:lang w:val="en-US" w:eastAsia="zh-CN" w:bidi="ar-SA"/>
              </w:rPr>
              <w:t>付款方式</w:t>
            </w:r>
          </w:p>
        </w:tc>
      </w:tr>
      <w:tr w14:paraId="650F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354FE35">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w:t>
            </w:r>
          </w:p>
        </w:tc>
        <w:tc>
          <w:tcPr>
            <w:tcW w:w="4538" w:type="pct"/>
            <w:gridSpan w:val="2"/>
            <w:vAlign w:val="top"/>
          </w:tcPr>
          <w:p w14:paraId="13378BFA">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货物类</w:t>
            </w:r>
          </w:p>
        </w:tc>
      </w:tr>
      <w:tr w14:paraId="4F30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ED30C18">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5.1.1</w:t>
            </w:r>
          </w:p>
        </w:tc>
        <w:tc>
          <w:tcPr>
            <w:tcW w:w="4538" w:type="pct"/>
            <w:gridSpan w:val="2"/>
            <w:vAlign w:val="top"/>
          </w:tcPr>
          <w:p w14:paraId="0B5BA053">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预付款金额为合同款金额的40%。合同生效且项目具备实施条件后支付预付款；项目验收合格后</w:t>
            </w:r>
          </w:p>
          <w:p w14:paraId="70981EE9">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付清余款。（适用中小企业投标）；</w:t>
            </w:r>
          </w:p>
        </w:tc>
      </w:tr>
      <w:tr w14:paraId="0BE5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D46A965">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5.1.2</w:t>
            </w:r>
          </w:p>
        </w:tc>
        <w:tc>
          <w:tcPr>
            <w:tcW w:w="4538" w:type="pct"/>
            <w:gridSpan w:val="2"/>
            <w:vAlign w:val="top"/>
          </w:tcPr>
          <w:p w14:paraId="498FF44D">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项目验收合格后付全款；（适用大型企业投标）</w:t>
            </w:r>
          </w:p>
        </w:tc>
      </w:tr>
      <w:tr w14:paraId="6BB6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13BD464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5.2</w:t>
            </w:r>
          </w:p>
        </w:tc>
        <w:tc>
          <w:tcPr>
            <w:tcW w:w="4538" w:type="pct"/>
            <w:gridSpan w:val="2"/>
            <w:vAlign w:val="top"/>
          </w:tcPr>
          <w:p w14:paraId="177E73B8">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服务类</w:t>
            </w:r>
          </w:p>
        </w:tc>
      </w:tr>
      <w:tr w14:paraId="071C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494F066">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5.2.1</w:t>
            </w:r>
          </w:p>
        </w:tc>
        <w:tc>
          <w:tcPr>
            <w:tcW w:w="4538" w:type="pct"/>
            <w:gridSpan w:val="2"/>
            <w:vAlign w:val="top"/>
          </w:tcPr>
          <w:p w14:paraId="640738F2">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预付款金额不超过合同总金额的40%，合同生效后支付预付款；余款在不违反相关采购规定的情况下，由双方协商决定；</w:t>
            </w:r>
          </w:p>
        </w:tc>
      </w:tr>
    </w:tbl>
    <w:p w14:paraId="1BC6B413">
      <w:pPr>
        <w:spacing w:line="360" w:lineRule="auto"/>
        <w:rPr>
          <w:rFonts w:hint="default" w:eastAsiaTheme="minorEastAsia"/>
          <w:sz w:val="24"/>
          <w:szCs w:val="24"/>
          <w:u w:val="singl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37A0C10"/>
    <w:rsid w:val="06CC6306"/>
    <w:rsid w:val="07A70F85"/>
    <w:rsid w:val="099077F7"/>
    <w:rsid w:val="0A92679B"/>
    <w:rsid w:val="0B876571"/>
    <w:rsid w:val="0EBB628A"/>
    <w:rsid w:val="0F2C1D70"/>
    <w:rsid w:val="10477E7E"/>
    <w:rsid w:val="155C2C83"/>
    <w:rsid w:val="1ADC4941"/>
    <w:rsid w:val="208E5D79"/>
    <w:rsid w:val="24303C58"/>
    <w:rsid w:val="26651C51"/>
    <w:rsid w:val="27BA4183"/>
    <w:rsid w:val="28331C1B"/>
    <w:rsid w:val="299824CF"/>
    <w:rsid w:val="2B633241"/>
    <w:rsid w:val="2EE34571"/>
    <w:rsid w:val="30572F78"/>
    <w:rsid w:val="30BC4C69"/>
    <w:rsid w:val="34480AEF"/>
    <w:rsid w:val="38A03D8B"/>
    <w:rsid w:val="397F500E"/>
    <w:rsid w:val="3CE82AC2"/>
    <w:rsid w:val="40000B87"/>
    <w:rsid w:val="4207575F"/>
    <w:rsid w:val="443B2CEC"/>
    <w:rsid w:val="44C578EC"/>
    <w:rsid w:val="49812F99"/>
    <w:rsid w:val="4A946440"/>
    <w:rsid w:val="4AFB588F"/>
    <w:rsid w:val="4B336143"/>
    <w:rsid w:val="4F361873"/>
    <w:rsid w:val="5118618C"/>
    <w:rsid w:val="51D0666D"/>
    <w:rsid w:val="59CE33A8"/>
    <w:rsid w:val="5A6076D7"/>
    <w:rsid w:val="5BB87046"/>
    <w:rsid w:val="5F7056A6"/>
    <w:rsid w:val="61386D43"/>
    <w:rsid w:val="663336A5"/>
    <w:rsid w:val="66D23DE2"/>
    <w:rsid w:val="67212ADF"/>
    <w:rsid w:val="69DB0917"/>
    <w:rsid w:val="6E873EA7"/>
    <w:rsid w:val="6FC4552D"/>
    <w:rsid w:val="70326D5C"/>
    <w:rsid w:val="72901CD2"/>
    <w:rsid w:val="7369196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955</Words>
  <Characters>1111</Characters>
  <Lines>0</Lines>
  <Paragraphs>0</Paragraphs>
  <TotalTime>15</TotalTime>
  <ScaleCrop>false</ScaleCrop>
  <LinksUpToDate>false</LinksUpToDate>
  <CharactersWithSpaces>1170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2023-10-19T02:31:00Z</dcterms:created>
  <dc:creator>蚂蚁</dc:creator>
  <cp:lastModifiedBy>Nicole</cp:lastModifiedBy>
  <dcterms:modified xsi:type="dcterms:W3CDTF">2025-12-19T08:04:39Z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3F401F72AEEE418F8256C4679E45F911_13</vt:lpwstr>
  </property>
  <property fmtid="{D5CDD505-2E9C-101B-9397-08002B2CF9AE}" pid="4" name="KSOTemplateDocerSaveRecord">
    <vt:lpwstr>eyJoZGlkIjoiMTAxZTlhZjVlOTUwMjk0MjVkODJkNThhOWFkYzQzYjciLCJ1c2VySWQiOiIyNTE3NjAwMzYifQ==</vt:lpwstr>
  </property>
</Properties>
</file>