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87FC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Theme="minorEastAsia" w:hAnsiTheme="minorEastAsia" w:eastAsiaTheme="minorEastAsia"/>
          <w:b/>
          <w:color w:val="000000"/>
          <w:sz w:val="28"/>
          <w:szCs w:val="28"/>
        </w:rPr>
      </w:pPr>
      <w:r>
        <w:rPr>
          <w:rFonts w:hint="eastAsia" w:asciiTheme="minorEastAsia" w:hAnsiTheme="minorEastAsia" w:eastAsiaTheme="minorEastAsia"/>
          <w:b/>
          <w:color w:val="000000"/>
          <w:sz w:val="28"/>
          <w:szCs w:val="28"/>
        </w:rPr>
        <w:t>采购需求</w:t>
      </w:r>
    </w:p>
    <w:p w14:paraId="7101A74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asciiTheme="minorEastAsia" w:hAnsiTheme="minorEastAsia" w:eastAsiaTheme="minorEastAsia"/>
          <w:b/>
          <w:bCs w:val="0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 w:val="0"/>
          <w:sz w:val="24"/>
          <w:szCs w:val="24"/>
          <w:lang w:val="en-US" w:eastAsia="zh-CN"/>
        </w:rPr>
        <w:t>一、</w:t>
      </w:r>
      <w:r>
        <w:rPr>
          <w:rFonts w:hint="eastAsia" w:asciiTheme="minorEastAsia" w:hAnsiTheme="minorEastAsia" w:eastAsiaTheme="minorEastAsia"/>
          <w:b/>
          <w:bCs w:val="0"/>
          <w:sz w:val="24"/>
          <w:szCs w:val="24"/>
        </w:rPr>
        <w:t>采购内容</w:t>
      </w:r>
    </w:p>
    <w:p w14:paraId="609AEF13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1、油品齐全：具有稳定、符合国家油质标准的供货渠道，油品齐全，包括92号汽油、95号汽油、98号汽油、0号柴油、-10号柴油等，能够满足公务用车加油需求，各类油品质量符合国家标准。</w:t>
      </w:r>
    </w:p>
    <w:p w14:paraId="76EA239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2、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响应时间</w:t>
      </w:r>
      <w:r>
        <w:rPr>
          <w:rFonts w:asciiTheme="minorEastAsia" w:hAnsiTheme="minorEastAsia" w:eastAsiaTheme="minorEastAsia"/>
          <w:sz w:val="24"/>
          <w:szCs w:val="24"/>
        </w:rPr>
        <w:t>：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定点加油单位可以在30分钟内满足各院区公务车加油需求</w:t>
      </w:r>
      <w:r>
        <w:rPr>
          <w:rFonts w:asciiTheme="minorEastAsia" w:hAnsiTheme="minorEastAsia" w:eastAsiaTheme="minorEastAsia"/>
          <w:sz w:val="24"/>
          <w:szCs w:val="24"/>
        </w:rPr>
        <w:t>。（地址：浙江大学医学院附属儿童医院滨江院区、浙江大学医学院附属儿童医院湖滨院区、浙江大学医学院附属儿童医院莫干山院区）</w:t>
      </w:r>
    </w:p>
    <w:p w14:paraId="337E63DD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3、服务要求：具备全年7*24小时为公务用车加油服务能力，遇特殊情况时，能提供送油上门服务或者与采购人协商解决加油问题。提供24小时油卡充值及加油服务，由专人负责对接业务，月初各项数据送达到医院。</w:t>
      </w:r>
    </w:p>
    <w:p w14:paraId="75D9413C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4、公务车辆定点加油单位实行主卡、副卡管理制度，其中主卡为管理卡，副卡仅用于加油，不得用于其他用途，主卡可对副卡进行充值、预分配，具备打印对账单等功能，全国通用。</w:t>
      </w:r>
      <w:r>
        <w:rPr>
          <w:rFonts w:hint="eastAsia" w:asciiTheme="minorEastAsia" w:hAnsiTheme="minorEastAsia" w:eastAsiaTheme="minorEastAsia"/>
          <w:sz w:val="24"/>
          <w:szCs w:val="24"/>
        </w:rPr>
        <w:t>加油卡若发生遗失，能够为采购人办理挂失手续，并清算卡内资金。同时应车属单位要求，免费补办新卡。</w:t>
      </w:r>
    </w:p>
    <w:p w14:paraId="4F9E14A4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5、具有IC卡加油功能，实行一车一卡管理，严格实行对车号加油，有完善的管理体系。严格执行凭卡核对车号加油的管理制度：受理加油卡时，加油站工作人员核对车牌号码与卡上显示的车牌号码是否一致，对不一致的拒绝加油。</w:t>
      </w:r>
    </w:p>
    <w:p w14:paraId="10EA8EE5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6</w:t>
      </w:r>
      <w:r>
        <w:rPr>
          <w:rFonts w:asciiTheme="minorEastAsia" w:hAnsiTheme="minorEastAsia" w:eastAsiaTheme="minorEastAsia"/>
          <w:sz w:val="24"/>
          <w:szCs w:val="24"/>
        </w:rPr>
        <w:t>、采购优惠：能提供优质的增值服务，并在</w:t>
      </w:r>
      <w:r>
        <w:rPr>
          <w:rFonts w:hint="eastAsia" w:asciiTheme="minorEastAsia" w:hAnsiTheme="minorEastAsia" w:eastAsiaTheme="minorEastAsia"/>
          <w:sz w:val="24"/>
          <w:szCs w:val="24"/>
        </w:rPr>
        <w:t>响应</w:t>
      </w:r>
      <w:r>
        <w:rPr>
          <w:rFonts w:asciiTheme="minorEastAsia" w:hAnsiTheme="minorEastAsia" w:eastAsiaTheme="minorEastAsia"/>
          <w:sz w:val="24"/>
          <w:szCs w:val="24"/>
        </w:rPr>
        <w:t>文件中明确。</w:t>
      </w:r>
    </w:p>
    <w:p w14:paraId="15912E7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7</w:t>
      </w:r>
      <w:r>
        <w:rPr>
          <w:rFonts w:asciiTheme="minorEastAsia" w:hAnsiTheme="minorEastAsia" w:eastAsiaTheme="minorEastAsia"/>
          <w:sz w:val="24"/>
          <w:szCs w:val="24"/>
        </w:rPr>
        <w:t>、服务公司规范：严格遵守国家法律法规，认真执行国家和相关加油服务行业各项管理法规及规范性文件，合法经营，按章办事，诚实守信，自觉维护采购单位名称的利益。有严格的内控机制和监督管理制度。</w:t>
      </w:r>
    </w:p>
    <w:p w14:paraId="47A7E7E2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/>
          <w:b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b/>
          <w:bCs w:val="0"/>
          <w:sz w:val="24"/>
          <w:szCs w:val="24"/>
          <w:lang w:val="en-US" w:eastAsia="zh-CN"/>
        </w:rPr>
        <w:t>二、其它要求</w:t>
      </w:r>
    </w:p>
    <w:p w14:paraId="0335260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1、在合同期内因上级政府政策变动须中止合同，</w:t>
      </w:r>
      <w:r>
        <w:rPr>
          <w:rFonts w:hint="eastAsia" w:asciiTheme="minorEastAsia" w:hAnsiTheme="minorEastAsia" w:eastAsiaTheme="minorEastAsia"/>
          <w:sz w:val="24"/>
          <w:szCs w:val="24"/>
        </w:rPr>
        <w:t>供应商</w:t>
      </w:r>
      <w:r>
        <w:rPr>
          <w:rFonts w:asciiTheme="minorEastAsia" w:hAnsiTheme="minorEastAsia" w:eastAsiaTheme="minorEastAsia"/>
          <w:sz w:val="24"/>
          <w:szCs w:val="24"/>
        </w:rPr>
        <w:t>应无条件同意，费用即月即结</w:t>
      </w:r>
      <w:r>
        <w:rPr>
          <w:rFonts w:hint="eastAsia" w:asciiTheme="minorEastAsia" w:hAnsiTheme="minorEastAsia" w:eastAsiaTheme="minorEastAsia"/>
          <w:sz w:val="24"/>
          <w:szCs w:val="24"/>
        </w:rPr>
        <w:t>，退回充值卡中余额</w:t>
      </w:r>
      <w:r>
        <w:rPr>
          <w:rFonts w:asciiTheme="minorEastAsia" w:hAnsiTheme="minorEastAsia" w:eastAsiaTheme="minorEastAsia"/>
          <w:sz w:val="24"/>
          <w:szCs w:val="24"/>
        </w:rPr>
        <w:t>。</w:t>
      </w:r>
    </w:p>
    <w:p w14:paraId="352E8BB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2、报价：本项目报价应包括燃油、人工工资、车辆设备、耗材、运输、清洁、税金等一切费用。</w:t>
      </w:r>
    </w:p>
    <w:p w14:paraId="58E1330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3、报价要求：</w:t>
      </w:r>
      <w:r>
        <w:rPr>
          <w:rFonts w:hint="eastAsia" w:asciiTheme="minorEastAsia" w:hAnsiTheme="minorEastAsia" w:eastAsiaTheme="minorEastAsia"/>
          <w:sz w:val="24"/>
          <w:szCs w:val="24"/>
        </w:rPr>
        <w:t>报价一览表</w:t>
      </w:r>
    </w:p>
    <w:p w14:paraId="30A8DE2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</w:p>
    <w:tbl>
      <w:tblPr>
        <w:tblStyle w:val="10"/>
        <w:tblpPr w:leftFromText="180" w:rightFromText="180" w:vertAnchor="text" w:horzAnchor="page" w:tblpX="1910" w:tblpY="284"/>
        <w:tblOverlap w:val="never"/>
        <w:tblW w:w="81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8"/>
        <w:gridCol w:w="2496"/>
        <w:gridCol w:w="1378"/>
        <w:gridCol w:w="2994"/>
      </w:tblGrid>
      <w:tr w14:paraId="39D8B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8" w:type="dxa"/>
            <w:vAlign w:val="center"/>
          </w:tcPr>
          <w:p w14:paraId="5BCCFFC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序号</w:t>
            </w:r>
          </w:p>
        </w:tc>
        <w:tc>
          <w:tcPr>
            <w:tcW w:w="2496" w:type="dxa"/>
            <w:vAlign w:val="center"/>
          </w:tcPr>
          <w:p w14:paraId="136A3B2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油品</w:t>
            </w:r>
          </w:p>
        </w:tc>
        <w:tc>
          <w:tcPr>
            <w:tcW w:w="4372" w:type="dxa"/>
            <w:gridSpan w:val="2"/>
            <w:vAlign w:val="center"/>
          </w:tcPr>
          <w:p w14:paraId="2B8E03E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优惠金额(元/升）</w:t>
            </w:r>
          </w:p>
        </w:tc>
      </w:tr>
      <w:tr w14:paraId="49B1DC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328" w:type="dxa"/>
            <w:vAlign w:val="center"/>
          </w:tcPr>
          <w:p w14:paraId="61C4B4D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14:paraId="0C2686B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汽油</w:t>
            </w:r>
          </w:p>
        </w:tc>
        <w:tc>
          <w:tcPr>
            <w:tcW w:w="1378" w:type="dxa"/>
            <w:vAlign w:val="center"/>
          </w:tcPr>
          <w:p w14:paraId="639BA9D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小写：</w:t>
            </w:r>
          </w:p>
        </w:tc>
        <w:tc>
          <w:tcPr>
            <w:tcW w:w="2994" w:type="dxa"/>
            <w:vAlign w:val="center"/>
          </w:tcPr>
          <w:p w14:paraId="6AC3B34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2D22D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328" w:type="dxa"/>
            <w:vAlign w:val="center"/>
          </w:tcPr>
          <w:p w14:paraId="22D6FD9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14:paraId="638A8F1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柴油</w:t>
            </w:r>
          </w:p>
        </w:tc>
        <w:tc>
          <w:tcPr>
            <w:tcW w:w="1378" w:type="dxa"/>
            <w:vAlign w:val="center"/>
          </w:tcPr>
          <w:p w14:paraId="1C1D917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小写：</w:t>
            </w:r>
          </w:p>
        </w:tc>
        <w:tc>
          <w:tcPr>
            <w:tcW w:w="2994" w:type="dxa"/>
            <w:vAlign w:val="center"/>
          </w:tcPr>
          <w:p w14:paraId="122FD26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</w:tbl>
    <w:p w14:paraId="3E31C2CC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备注：优惠金额：在即时挂牌价基础上优惠幅度不低于0.10元/升</w:t>
      </w:r>
    </w:p>
    <w:p w14:paraId="0DDB72A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4、油料</w:t>
      </w:r>
      <w:r>
        <w:rPr>
          <w:rFonts w:hint="eastAsia" w:asciiTheme="minorEastAsia" w:hAnsiTheme="minorEastAsia" w:eastAsiaTheme="minorEastAsia"/>
          <w:sz w:val="24"/>
          <w:szCs w:val="24"/>
        </w:rPr>
        <w:t>质量不合格造成采购人机动车辆损坏，中标供应商应负全部赔偿责任。</w:t>
      </w:r>
    </w:p>
    <w:p w14:paraId="008F840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5、因油料无故短斤少两或标量与售油不符，发现一次按量</w:t>
      </w:r>
      <w:r>
        <w:rPr>
          <w:rFonts w:hint="eastAsia" w:asciiTheme="minorEastAsia" w:hAnsiTheme="minorEastAsia" w:eastAsiaTheme="minorEastAsia"/>
          <w:sz w:val="24"/>
          <w:szCs w:val="24"/>
        </w:rPr>
        <w:t>以一赔十，出现两次，在赔偿的同时取消定点加油服务资格。</w:t>
      </w:r>
    </w:p>
    <w:p w14:paraId="1B9AAC3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6、服务</w:t>
      </w:r>
      <w:r>
        <w:rPr>
          <w:rFonts w:hint="eastAsia" w:asciiTheme="minorEastAsia" w:hAnsiTheme="minorEastAsia" w:eastAsiaTheme="minorEastAsia"/>
          <w:sz w:val="24"/>
          <w:szCs w:val="24"/>
        </w:rPr>
        <w:t>期结束后，中标供应商应向采购人提交定点加油情况报告，报告中对全年完成的加油量、加油油料总价值等附有详细说明。同时向采购人列报各车辆加油情况明细表（包括车辆名称、</w:t>
      </w:r>
      <w:bookmarkStart w:id="0" w:name="_GoBack"/>
      <w:bookmarkEnd w:id="0"/>
      <w:r>
        <w:rPr>
          <w:rFonts w:hint="eastAsia" w:asciiTheme="minorEastAsia" w:hAnsiTheme="minorEastAsia" w:eastAsiaTheme="minorEastAsia"/>
          <w:sz w:val="24"/>
          <w:szCs w:val="24"/>
        </w:rPr>
        <w:t>车牌号、加油量及加油费用等）。</w:t>
      </w:r>
    </w:p>
    <w:p w14:paraId="7A30BB1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/>
          <w:b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b/>
          <w:bCs w:val="0"/>
          <w:sz w:val="24"/>
          <w:szCs w:val="24"/>
          <w:lang w:val="en-US" w:eastAsia="zh-CN"/>
        </w:rPr>
        <w:t>三、服务期限</w:t>
      </w:r>
    </w:p>
    <w:p w14:paraId="7F72291B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本项目整体服务期限自合同签订之日起1年，中标方存在重大过失或工作不到位，经采购人二次提出整改，仍不改正的，采购人有权终止合同，并供应商赔偿相应损失。</w:t>
      </w:r>
    </w:p>
    <w:p w14:paraId="66E51E86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/>
          <w:b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b/>
          <w:bCs w:val="0"/>
          <w:sz w:val="24"/>
          <w:szCs w:val="24"/>
          <w:lang w:val="en-US" w:eastAsia="zh-CN"/>
        </w:rPr>
        <w:t>四、付款方式</w:t>
      </w:r>
    </w:p>
    <w:p w14:paraId="0544F70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本项目款项按次支付，每次甲方要求向加油卡中充值一定金额后乙方开具相应正规发票，甲方收到发票并确认充值成功后支付款项。</w:t>
      </w:r>
    </w:p>
    <w:p w14:paraId="03E1E138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Theme="minorEastAsia" w:hAnsiTheme="minorEastAsia" w:eastAsiaTheme="minorEastAsia"/>
          <w:b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b/>
          <w:bCs w:val="0"/>
          <w:sz w:val="24"/>
          <w:szCs w:val="24"/>
          <w:lang w:val="en-US" w:eastAsia="zh-CN"/>
        </w:rPr>
        <w:t>五、最高限价</w:t>
      </w:r>
    </w:p>
    <w:p w14:paraId="1C7CDA70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供应商需为框架协议入围商家</w:t>
      </w:r>
      <w:r>
        <w:rPr>
          <w:rFonts w:hint="eastAsia" w:asciiTheme="minorEastAsia" w:hAnsiTheme="minorEastAsia" w:eastAsiaTheme="minorEastAsia"/>
          <w:sz w:val="24"/>
          <w:szCs w:val="24"/>
        </w:rPr>
        <w:t>，</w:t>
      </w:r>
      <w:r>
        <w:rPr>
          <w:rFonts w:asciiTheme="minorEastAsia" w:hAnsiTheme="minorEastAsia" w:eastAsiaTheme="minorEastAsia"/>
          <w:sz w:val="24"/>
          <w:szCs w:val="24"/>
        </w:rPr>
        <w:t>且报价不得高于入围承诺价</w:t>
      </w:r>
      <w:r>
        <w:rPr>
          <w:rFonts w:hint="eastAsia" w:asciiTheme="minorEastAsia" w:hAnsiTheme="minorEastAsia" w:eastAsiaTheme="minorEastAsia"/>
          <w:sz w:val="24"/>
          <w:szCs w:val="24"/>
        </w:rPr>
        <w:t>，</w:t>
      </w:r>
      <w:r>
        <w:rPr>
          <w:rFonts w:asciiTheme="minorEastAsia" w:hAnsiTheme="minorEastAsia" w:eastAsiaTheme="minorEastAsia"/>
          <w:sz w:val="24"/>
          <w:szCs w:val="24"/>
        </w:rPr>
        <w:t>否则为无效</w:t>
      </w:r>
      <w:r>
        <w:rPr>
          <w:rFonts w:hint="eastAsia" w:asciiTheme="minorEastAsia" w:hAnsiTheme="minorEastAsia" w:eastAsiaTheme="minorEastAsia"/>
          <w:sz w:val="24"/>
          <w:szCs w:val="24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472895"/>
    </w:sdtPr>
    <w:sdtContent>
      <w:p w14:paraId="568DFCA6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 w14:paraId="1AAFE6BC"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C1751E"/>
    <w:rsid w:val="00015A9E"/>
    <w:rsid w:val="00062AA9"/>
    <w:rsid w:val="00112132"/>
    <w:rsid w:val="00160A20"/>
    <w:rsid w:val="001D773D"/>
    <w:rsid w:val="002228CA"/>
    <w:rsid w:val="0023026B"/>
    <w:rsid w:val="002538DC"/>
    <w:rsid w:val="00291BA6"/>
    <w:rsid w:val="002B064D"/>
    <w:rsid w:val="002D6936"/>
    <w:rsid w:val="00300DF7"/>
    <w:rsid w:val="0032403A"/>
    <w:rsid w:val="00347AC7"/>
    <w:rsid w:val="00351539"/>
    <w:rsid w:val="00365CA9"/>
    <w:rsid w:val="00374BE5"/>
    <w:rsid w:val="00381BA2"/>
    <w:rsid w:val="003907A6"/>
    <w:rsid w:val="003B3F6D"/>
    <w:rsid w:val="0040791D"/>
    <w:rsid w:val="00416314"/>
    <w:rsid w:val="00422E89"/>
    <w:rsid w:val="00461E91"/>
    <w:rsid w:val="004731A8"/>
    <w:rsid w:val="00483C83"/>
    <w:rsid w:val="00492B39"/>
    <w:rsid w:val="004968FF"/>
    <w:rsid w:val="004F0A0B"/>
    <w:rsid w:val="004F2619"/>
    <w:rsid w:val="005149F9"/>
    <w:rsid w:val="00541251"/>
    <w:rsid w:val="005B3290"/>
    <w:rsid w:val="00641AA3"/>
    <w:rsid w:val="00647FB2"/>
    <w:rsid w:val="00686435"/>
    <w:rsid w:val="00692D0E"/>
    <w:rsid w:val="006A18BF"/>
    <w:rsid w:val="006B2D72"/>
    <w:rsid w:val="00710037"/>
    <w:rsid w:val="00731FA5"/>
    <w:rsid w:val="007B1FA5"/>
    <w:rsid w:val="008158E5"/>
    <w:rsid w:val="008A6342"/>
    <w:rsid w:val="008E77F9"/>
    <w:rsid w:val="009C0CE4"/>
    <w:rsid w:val="009D7407"/>
    <w:rsid w:val="00A67489"/>
    <w:rsid w:val="00A7490C"/>
    <w:rsid w:val="00A857E0"/>
    <w:rsid w:val="00A86379"/>
    <w:rsid w:val="00B13A99"/>
    <w:rsid w:val="00BA7D12"/>
    <w:rsid w:val="00BD4AF7"/>
    <w:rsid w:val="00C16FA7"/>
    <w:rsid w:val="00C1751E"/>
    <w:rsid w:val="00D0469D"/>
    <w:rsid w:val="00D14516"/>
    <w:rsid w:val="00D43908"/>
    <w:rsid w:val="00D84A7E"/>
    <w:rsid w:val="00DF675A"/>
    <w:rsid w:val="00E00D03"/>
    <w:rsid w:val="00E14638"/>
    <w:rsid w:val="00E3216C"/>
    <w:rsid w:val="00E720E2"/>
    <w:rsid w:val="00F031FD"/>
    <w:rsid w:val="00F0693D"/>
    <w:rsid w:val="00F21A89"/>
    <w:rsid w:val="00FA3D50"/>
    <w:rsid w:val="00FB093D"/>
    <w:rsid w:val="043B2EAD"/>
    <w:rsid w:val="0543026B"/>
    <w:rsid w:val="08451485"/>
    <w:rsid w:val="16F2564D"/>
    <w:rsid w:val="20F270B6"/>
    <w:rsid w:val="35E13F0F"/>
    <w:rsid w:val="45EF06DC"/>
    <w:rsid w:val="4F0C2A48"/>
    <w:rsid w:val="526D37FE"/>
    <w:rsid w:val="56CB6406"/>
    <w:rsid w:val="5D8D11F8"/>
    <w:rsid w:val="5FF94923"/>
    <w:rsid w:val="62BE1E54"/>
    <w:rsid w:val="69D97A0D"/>
    <w:rsid w:val="6A0405A5"/>
    <w:rsid w:val="73B2330F"/>
    <w:rsid w:val="7C34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bCs/>
      <w:kern w:val="2"/>
      <w:sz w:val="28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4"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</w:style>
  <w:style w:type="paragraph" w:styleId="7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bCs w:val="0"/>
      <w:sz w:val="18"/>
      <w:szCs w:val="18"/>
    </w:rPr>
  </w:style>
  <w:style w:type="character" w:customStyle="1" w:styleId="12">
    <w:name w:val="页眉 Char"/>
    <w:basedOn w:val="11"/>
    <w:link w:val="9"/>
    <w:qFormat/>
    <w:uiPriority w:val="99"/>
    <w:rPr>
      <w:sz w:val="18"/>
      <w:szCs w:val="18"/>
    </w:rPr>
  </w:style>
  <w:style w:type="character" w:customStyle="1" w:styleId="13">
    <w:name w:val="页脚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标题 3 Char"/>
    <w:link w:val="4"/>
    <w:qFormat/>
    <w:uiPriority w:val="0"/>
    <w:rPr>
      <w:b/>
      <w:sz w:val="32"/>
    </w:rPr>
  </w:style>
  <w:style w:type="character" w:customStyle="1" w:styleId="15">
    <w:name w:val="标题 1 Char"/>
    <w:link w:val="2"/>
    <w:qFormat/>
    <w:uiPriority w:val="0"/>
    <w:rPr>
      <w:b/>
      <w:kern w:val="44"/>
      <w:sz w:val="44"/>
    </w:rPr>
  </w:style>
  <w:style w:type="character" w:customStyle="1" w:styleId="16">
    <w:name w:val="标题 2 Char"/>
    <w:link w:val="3"/>
    <w:qFormat/>
    <w:uiPriority w:val="0"/>
    <w:rPr>
      <w:rFonts w:ascii="Arial" w:hAnsi="Arial" w:eastAsia="黑体"/>
      <w:b/>
      <w:sz w:val="32"/>
    </w:r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8">
    <w:name w:val="批注框文本 Char"/>
    <w:basedOn w:val="11"/>
    <w:link w:val="7"/>
    <w:semiHidden/>
    <w:qFormat/>
    <w:uiPriority w:val="99"/>
    <w:rPr>
      <w:rFonts w:ascii="宋体" w:hAnsi="Times New Roman" w:eastAsia="宋体" w:cs="Times New Roman"/>
      <w:bCs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2055</Words>
  <Characters>2216</Characters>
  <Lines>19</Lines>
  <Paragraphs>5</Paragraphs>
  <TotalTime>2</TotalTime>
  <ScaleCrop>false</ScaleCrop>
  <LinksUpToDate>false</LinksUpToDate>
  <CharactersWithSpaces>2231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2025-11-11T09:04:00Z</dcterms:created>
  <dc:creator>hp</dc:creator>
  <cp:lastModifiedBy>hp</cp:lastModifiedBy>
  <dcterms:modified xsi:type="dcterms:W3CDTF">2026-01-27T08:41:30Z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275EF111150749EB88E22DE57B64D422_12</vt:lpwstr>
  </property>
</Properties>
</file>