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3CFFEB">
      <w:pPr>
        <w:jc w:val="center"/>
        <w:rPr>
          <w:rFonts w:cs="Times New Roman"/>
          <w:b/>
          <w:bCs/>
          <w:sz w:val="32"/>
          <w:szCs w:val="32"/>
        </w:rPr>
      </w:pPr>
      <w:r>
        <w:rPr>
          <w:rFonts w:hint="eastAsia" w:cs="宋体"/>
          <w:b/>
          <w:bCs/>
          <w:sz w:val="32"/>
          <w:szCs w:val="32"/>
        </w:rPr>
        <w:t>高分辨带染色体项目外送检验技术要求</w:t>
      </w:r>
    </w:p>
    <w:p w14:paraId="1132DBDA">
      <w:pPr>
        <w:rPr>
          <w:rFonts w:hint="eastAsia" w:ascii="宋体" w:hAnsi="宋体" w:eastAsia="宋体" w:cs="宋体"/>
          <w:b/>
          <w:bCs/>
          <w:sz w:val="24"/>
          <w:szCs w:val="24"/>
        </w:rPr>
      </w:pPr>
      <w:r>
        <w:rPr>
          <w:rFonts w:hint="eastAsia" w:ascii="宋体" w:hAnsi="宋体" w:eastAsia="宋体" w:cs="宋体"/>
          <w:b/>
          <w:bCs/>
          <w:sz w:val="24"/>
          <w:szCs w:val="24"/>
        </w:rPr>
        <w:t>一、总体要求</w:t>
      </w:r>
    </w:p>
    <w:p w14:paraId="20FF33E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Cs/>
          <w:sz w:val="24"/>
          <w:szCs w:val="24"/>
        </w:rPr>
        <w:t>具有从事医学检验技术服务能力和资质；</w:t>
      </w:r>
    </w:p>
    <w:p w14:paraId="7977035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2、检验报告出具时间：可按院方要求调整发放检验报告时间；报告单可在网上查询；</w:t>
      </w:r>
    </w:p>
    <w:p w14:paraId="65C7824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3、送检标本收取次数：每天一次，特殊情况临时增加一次；</w:t>
      </w:r>
    </w:p>
    <w:p w14:paraId="31DD089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4、全年服务：全年全天候上门收取标本（农历除夕、大年初一二三、不可抗力情况除外）；</w:t>
      </w:r>
    </w:p>
    <w:p w14:paraId="079FC1A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5、所有样本的运送及保存必须符合样本温度的管理要求，有专业的标本冷链物流配送，温度控制在全程2-8℃，数据记录保存≥2年，备查；</w:t>
      </w:r>
    </w:p>
    <w:p w14:paraId="16D4147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6、突发情况：院方自己开展项目仪器发生故障时，提供标本紧急检验服务，按照同类外送项目标本扣率收取费用，不另计费；</w:t>
      </w:r>
    </w:p>
    <w:p w14:paraId="6122881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7、特殊标本（包括急诊标本、病理标本）：提供临时加急服务，需提供具体方案及报告出具时限等；</w:t>
      </w:r>
    </w:p>
    <w:p w14:paraId="04CC29F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8、提供专门客户服务人员，日常电话及时应答，投诉2小时内回复调查进展；</w:t>
      </w:r>
    </w:p>
    <w:p w14:paraId="277368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9、外送检验项目结果需回传至医院LIS系统，投标人承担相关接口费用；</w:t>
      </w:r>
    </w:p>
    <w:p w14:paraId="117E2E4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10、切换医院LIS接口需及时完成，不得中断检验报告传输影响临床决策，且传输稳定、报告完整；</w:t>
      </w:r>
    </w:p>
    <w:p w14:paraId="30C14F5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11、按照检验质控要求，定期提供所有外送项目的室内质控、室间质控报告；</w:t>
      </w:r>
    </w:p>
    <w:p w14:paraId="030D099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12、按照检验质控要求，定期提供检验仪器设备性能验证报告；</w:t>
      </w:r>
    </w:p>
    <w:p w14:paraId="2635583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13、根据院方需求，免费提供院方用于相关标本存放用品、耗材等，提供每次到货清单、随货联、合格证、医疗器械注册证等。</w:t>
      </w:r>
    </w:p>
    <w:p w14:paraId="678633EF">
      <w:pPr>
        <w:pStyle w:val="7"/>
        <w:spacing w:line="360" w:lineRule="auto"/>
        <w:ind w:firstLineChars="200"/>
        <w:rPr>
          <w:rFonts w:hint="eastAsia" w:ascii="宋体" w:hAnsi="宋体" w:eastAsia="宋体" w:cs="宋体"/>
          <w:sz w:val="24"/>
          <w:szCs w:val="24"/>
        </w:rPr>
      </w:pPr>
      <w:r>
        <w:rPr>
          <w:rFonts w:hint="eastAsia" w:ascii="宋体" w:hAnsi="宋体" w:eastAsia="宋体" w:cs="宋体"/>
          <w:sz w:val="24"/>
          <w:szCs w:val="24"/>
        </w:rPr>
        <w:t>14、剩余样本处置：应当按照国家及行业标准对标本进行保存以备复检；对过保存期的样本处理需遵守《中华人民共和国人类遗传资源管理条例》，按规定及时销毁。</w:t>
      </w:r>
    </w:p>
    <w:p w14:paraId="3FE6639A">
      <w:pPr>
        <w:rPr>
          <w:rFonts w:hint="eastAsia" w:ascii="宋体" w:hAnsi="宋体" w:eastAsia="宋体" w:cs="宋体"/>
          <w:sz w:val="24"/>
          <w:szCs w:val="24"/>
        </w:rPr>
      </w:pPr>
      <w:r>
        <w:rPr>
          <w:rFonts w:hint="eastAsia" w:ascii="宋体" w:hAnsi="宋体" w:eastAsia="宋体" w:cs="宋体"/>
          <w:b/>
          <w:bCs/>
          <w:sz w:val="24"/>
          <w:szCs w:val="24"/>
        </w:rPr>
        <w:t>二、外送项目清单：</w:t>
      </w:r>
      <w:bookmarkStart w:id="0" w:name="_GoBack"/>
      <w:bookmarkEnd w:id="0"/>
    </w:p>
    <w:tbl>
      <w:tblPr>
        <w:tblStyle w:val="8"/>
        <w:tblW w:w="4943" w:type="pct"/>
        <w:tblInd w:w="0" w:type="dxa"/>
        <w:tblLayout w:type="fixed"/>
        <w:tblCellMar>
          <w:top w:w="0" w:type="dxa"/>
          <w:left w:w="108" w:type="dxa"/>
          <w:bottom w:w="0" w:type="dxa"/>
          <w:right w:w="108" w:type="dxa"/>
        </w:tblCellMar>
      </w:tblPr>
      <w:tblGrid>
        <w:gridCol w:w="1047"/>
        <w:gridCol w:w="2483"/>
        <w:gridCol w:w="2813"/>
        <w:gridCol w:w="1775"/>
        <w:gridCol w:w="1199"/>
      </w:tblGrid>
      <w:tr w14:paraId="23B2A237">
        <w:tblPrEx>
          <w:tblCellMar>
            <w:top w:w="0" w:type="dxa"/>
            <w:left w:w="108" w:type="dxa"/>
            <w:bottom w:w="0" w:type="dxa"/>
            <w:right w:w="108" w:type="dxa"/>
          </w:tblCellMar>
        </w:tblPrEx>
        <w:trPr>
          <w:trHeight w:val="454" w:hRule="atLeast"/>
          <w:tblHeader/>
        </w:trPr>
        <w:tc>
          <w:tcPr>
            <w:tcW w:w="561" w:type="pct"/>
            <w:tcBorders>
              <w:top w:val="single" w:color="auto" w:sz="4" w:space="0"/>
              <w:left w:val="single" w:color="auto" w:sz="4" w:space="0"/>
              <w:bottom w:val="single" w:color="auto" w:sz="4" w:space="0"/>
              <w:right w:val="single" w:color="auto" w:sz="4" w:space="0"/>
            </w:tcBorders>
            <w:noWrap/>
            <w:vAlign w:val="center"/>
          </w:tcPr>
          <w:p w14:paraId="0310E1B4">
            <w:pPr>
              <w:spacing w:line="360" w:lineRule="auto"/>
              <w:rPr>
                <w:rFonts w:hint="eastAsia" w:ascii="宋体" w:hAnsi="宋体" w:eastAsia="宋体" w:cs="宋体"/>
                <w:bCs/>
                <w:sz w:val="24"/>
                <w:szCs w:val="24"/>
              </w:rPr>
            </w:pPr>
            <w:r>
              <w:rPr>
                <w:rFonts w:hint="eastAsia" w:ascii="宋体" w:hAnsi="宋体" w:eastAsia="宋体" w:cs="宋体"/>
                <w:bCs/>
                <w:sz w:val="24"/>
                <w:szCs w:val="24"/>
              </w:rPr>
              <w:t>序号</w:t>
            </w:r>
          </w:p>
        </w:tc>
        <w:tc>
          <w:tcPr>
            <w:tcW w:w="1332" w:type="pct"/>
            <w:tcBorders>
              <w:top w:val="single" w:color="auto" w:sz="4" w:space="0"/>
              <w:left w:val="nil"/>
              <w:bottom w:val="single" w:color="auto" w:sz="4" w:space="0"/>
              <w:right w:val="single" w:color="auto" w:sz="4" w:space="0"/>
            </w:tcBorders>
            <w:noWrap/>
            <w:vAlign w:val="center"/>
          </w:tcPr>
          <w:p w14:paraId="39AF666C">
            <w:pPr>
              <w:spacing w:line="360" w:lineRule="auto"/>
              <w:rPr>
                <w:rFonts w:hint="eastAsia" w:ascii="宋体" w:hAnsi="宋体" w:eastAsia="宋体" w:cs="宋体"/>
                <w:bCs/>
                <w:sz w:val="24"/>
                <w:szCs w:val="24"/>
              </w:rPr>
            </w:pPr>
            <w:r>
              <w:rPr>
                <w:rFonts w:hint="eastAsia" w:ascii="宋体" w:hAnsi="宋体" w:eastAsia="宋体" w:cs="宋体"/>
                <w:bCs/>
                <w:sz w:val="24"/>
                <w:szCs w:val="24"/>
              </w:rPr>
              <w:t>项目名称</w:t>
            </w:r>
          </w:p>
        </w:tc>
        <w:tc>
          <w:tcPr>
            <w:tcW w:w="1509" w:type="pct"/>
            <w:tcBorders>
              <w:top w:val="single" w:color="auto" w:sz="4" w:space="0"/>
              <w:left w:val="nil"/>
              <w:bottom w:val="single" w:color="auto" w:sz="4" w:space="0"/>
              <w:right w:val="single" w:color="auto" w:sz="4" w:space="0"/>
            </w:tcBorders>
            <w:noWrap/>
            <w:vAlign w:val="center"/>
          </w:tcPr>
          <w:p w14:paraId="18F90146">
            <w:pPr>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检测内容</w:t>
            </w:r>
            <w:r>
              <w:rPr>
                <w:rFonts w:hint="eastAsia" w:ascii="宋体" w:hAnsi="宋体" w:eastAsia="宋体" w:cs="宋体"/>
                <w:bCs/>
                <w:sz w:val="24"/>
                <w:szCs w:val="24"/>
              </w:rPr>
              <w:t>明细</w:t>
            </w:r>
          </w:p>
        </w:tc>
        <w:tc>
          <w:tcPr>
            <w:tcW w:w="952" w:type="pct"/>
            <w:tcBorders>
              <w:top w:val="single" w:color="auto" w:sz="4" w:space="0"/>
              <w:left w:val="nil"/>
              <w:bottom w:val="single" w:color="auto" w:sz="4" w:space="0"/>
              <w:right w:val="single" w:color="auto" w:sz="4" w:space="0"/>
            </w:tcBorders>
            <w:vAlign w:val="center"/>
          </w:tcPr>
          <w:p w14:paraId="293CC315">
            <w:pPr>
              <w:spacing w:line="360" w:lineRule="auto"/>
              <w:jc w:val="left"/>
              <w:rPr>
                <w:rFonts w:hint="eastAsia" w:ascii="宋体" w:hAnsi="宋体" w:eastAsia="宋体" w:cs="宋体"/>
                <w:bCs/>
                <w:sz w:val="24"/>
                <w:szCs w:val="24"/>
              </w:rPr>
            </w:pPr>
            <w:r>
              <w:rPr>
                <w:rFonts w:hint="eastAsia" w:ascii="宋体" w:hAnsi="宋体" w:eastAsia="宋体" w:cs="宋体"/>
                <w:color w:val="000000"/>
                <w:kern w:val="0"/>
                <w:sz w:val="24"/>
                <w:szCs w:val="24"/>
              </w:rPr>
              <w:t>收费</w:t>
            </w:r>
          </w:p>
        </w:tc>
        <w:tc>
          <w:tcPr>
            <w:tcW w:w="643" w:type="pct"/>
            <w:tcBorders>
              <w:top w:val="single" w:color="auto" w:sz="4" w:space="0"/>
              <w:left w:val="nil"/>
              <w:bottom w:val="single" w:color="auto" w:sz="4" w:space="0"/>
              <w:right w:val="single" w:color="auto" w:sz="4" w:space="0"/>
            </w:tcBorders>
          </w:tcPr>
          <w:p w14:paraId="7040CD1B">
            <w:pPr>
              <w:spacing w:line="360" w:lineRule="auto"/>
              <w:jc w:val="left"/>
              <w:rPr>
                <w:rFonts w:hint="eastAsia" w:ascii="宋体" w:hAnsi="宋体" w:eastAsia="宋体" w:cs="宋体"/>
                <w:bCs/>
                <w:sz w:val="24"/>
                <w:szCs w:val="24"/>
              </w:rPr>
            </w:pPr>
            <w:r>
              <w:rPr>
                <w:rFonts w:hint="eastAsia" w:ascii="宋体" w:hAnsi="宋体" w:eastAsia="宋体" w:cs="宋体"/>
                <w:color w:val="000000"/>
                <w:kern w:val="0"/>
                <w:sz w:val="24"/>
                <w:szCs w:val="24"/>
              </w:rPr>
              <w:t>报告时间</w:t>
            </w:r>
          </w:p>
        </w:tc>
      </w:tr>
      <w:tr w14:paraId="11767E1B">
        <w:tblPrEx>
          <w:tblCellMar>
            <w:top w:w="0" w:type="dxa"/>
            <w:left w:w="108" w:type="dxa"/>
            <w:bottom w:w="0" w:type="dxa"/>
            <w:right w:w="108" w:type="dxa"/>
          </w:tblCellMar>
        </w:tblPrEx>
        <w:trPr>
          <w:trHeight w:val="454" w:hRule="atLeast"/>
        </w:trPr>
        <w:tc>
          <w:tcPr>
            <w:tcW w:w="561" w:type="pct"/>
            <w:vMerge w:val="restart"/>
            <w:tcBorders>
              <w:top w:val="nil"/>
              <w:left w:val="single" w:color="auto" w:sz="4" w:space="0"/>
              <w:bottom w:val="single" w:color="auto" w:sz="4" w:space="0"/>
              <w:right w:val="single" w:color="auto" w:sz="4" w:space="0"/>
            </w:tcBorders>
            <w:noWrap/>
            <w:vAlign w:val="center"/>
          </w:tcPr>
          <w:p w14:paraId="1705CBE9">
            <w:pPr>
              <w:spacing w:line="360" w:lineRule="auto"/>
              <w:rPr>
                <w:rFonts w:hint="eastAsia" w:ascii="宋体" w:hAnsi="宋体" w:eastAsia="宋体" w:cs="宋体"/>
                <w:bCs/>
                <w:sz w:val="24"/>
                <w:szCs w:val="24"/>
              </w:rPr>
            </w:pPr>
            <w:r>
              <w:rPr>
                <w:rFonts w:hint="eastAsia" w:ascii="宋体" w:hAnsi="宋体" w:eastAsia="宋体" w:cs="宋体"/>
                <w:bCs/>
                <w:sz w:val="24"/>
                <w:szCs w:val="24"/>
              </w:rPr>
              <w:t>1</w:t>
            </w:r>
          </w:p>
        </w:tc>
        <w:tc>
          <w:tcPr>
            <w:tcW w:w="1332" w:type="pct"/>
            <w:vMerge w:val="restart"/>
            <w:tcBorders>
              <w:top w:val="nil"/>
              <w:left w:val="single" w:color="auto" w:sz="4" w:space="0"/>
              <w:bottom w:val="single" w:color="auto" w:sz="4" w:space="0"/>
              <w:right w:val="single" w:color="auto" w:sz="4" w:space="0"/>
            </w:tcBorders>
            <w:noWrap/>
            <w:vAlign w:val="center"/>
          </w:tcPr>
          <w:p w14:paraId="546C5866">
            <w:pPr>
              <w:spacing w:line="360" w:lineRule="auto"/>
              <w:rPr>
                <w:rFonts w:hint="eastAsia" w:ascii="宋体" w:hAnsi="宋体" w:eastAsia="宋体" w:cs="宋体"/>
                <w:bCs/>
                <w:sz w:val="24"/>
                <w:szCs w:val="24"/>
              </w:rPr>
            </w:pPr>
            <w:r>
              <w:rPr>
                <w:rFonts w:hint="eastAsia" w:ascii="宋体" w:hAnsi="宋体" w:eastAsia="宋体" w:cs="宋体"/>
                <w:bCs/>
                <w:sz w:val="24"/>
                <w:szCs w:val="24"/>
              </w:rPr>
              <w:t>高分辨带染色体项目</w:t>
            </w:r>
          </w:p>
        </w:tc>
        <w:tc>
          <w:tcPr>
            <w:tcW w:w="1509" w:type="pct"/>
            <w:tcBorders>
              <w:top w:val="nil"/>
              <w:left w:val="nil"/>
              <w:bottom w:val="single" w:color="auto" w:sz="4" w:space="0"/>
              <w:right w:val="single" w:color="auto" w:sz="4" w:space="0"/>
            </w:tcBorders>
            <w:noWrap/>
            <w:vAlign w:val="center"/>
          </w:tcPr>
          <w:p w14:paraId="5B882814">
            <w:pPr>
              <w:spacing w:line="360" w:lineRule="auto"/>
              <w:rPr>
                <w:rFonts w:hint="eastAsia" w:ascii="宋体" w:hAnsi="宋体" w:eastAsia="宋体" w:cs="宋体"/>
                <w:bCs/>
                <w:sz w:val="24"/>
                <w:szCs w:val="24"/>
              </w:rPr>
            </w:pPr>
            <w:r>
              <w:rPr>
                <w:rFonts w:hint="eastAsia" w:ascii="宋体" w:hAnsi="宋体" w:eastAsia="宋体" w:cs="宋体"/>
                <w:bCs/>
                <w:sz w:val="24"/>
                <w:szCs w:val="24"/>
              </w:rPr>
              <w:t>高分辨带染色体400带</w:t>
            </w:r>
          </w:p>
        </w:tc>
        <w:tc>
          <w:tcPr>
            <w:tcW w:w="952" w:type="pct"/>
            <w:vMerge w:val="restart"/>
            <w:tcBorders>
              <w:top w:val="nil"/>
              <w:left w:val="nil"/>
              <w:right w:val="single" w:color="auto" w:sz="4" w:space="0"/>
            </w:tcBorders>
          </w:tcPr>
          <w:p w14:paraId="06750DCD">
            <w:pPr>
              <w:spacing w:line="360" w:lineRule="auto"/>
              <w:rPr>
                <w:rFonts w:hint="eastAsia" w:ascii="宋体" w:hAnsi="宋体" w:eastAsia="宋体" w:cs="宋体"/>
                <w:bCs/>
                <w:sz w:val="24"/>
                <w:szCs w:val="24"/>
              </w:rPr>
            </w:pPr>
            <w:r>
              <w:rPr>
                <w:rFonts w:hint="eastAsia" w:ascii="宋体" w:hAnsi="宋体" w:eastAsia="宋体" w:cs="宋体"/>
                <w:sz w:val="24"/>
                <w:szCs w:val="24"/>
              </w:rPr>
              <w:t>按照浙江省物价收费标准</w:t>
            </w:r>
          </w:p>
        </w:tc>
        <w:tc>
          <w:tcPr>
            <w:tcW w:w="643" w:type="pct"/>
            <w:vMerge w:val="restart"/>
            <w:tcBorders>
              <w:top w:val="nil"/>
              <w:left w:val="nil"/>
              <w:right w:val="single" w:color="auto" w:sz="4" w:space="0"/>
            </w:tcBorders>
          </w:tcPr>
          <w:p w14:paraId="624F77B8">
            <w:pPr>
              <w:spacing w:line="360" w:lineRule="auto"/>
              <w:rPr>
                <w:rFonts w:hint="eastAsia" w:ascii="宋体" w:hAnsi="宋体" w:eastAsia="宋体" w:cs="宋体"/>
                <w:bCs/>
                <w:sz w:val="24"/>
                <w:szCs w:val="24"/>
              </w:rPr>
            </w:pPr>
            <w:r>
              <w:rPr>
                <w:rFonts w:hint="eastAsia" w:ascii="宋体" w:hAnsi="宋体" w:eastAsia="宋体" w:cs="宋体"/>
                <w:kern w:val="0"/>
                <w:sz w:val="24"/>
                <w:szCs w:val="24"/>
              </w:rPr>
              <w:t>15-30个工作日</w:t>
            </w:r>
          </w:p>
        </w:tc>
      </w:tr>
      <w:tr w14:paraId="4111068B">
        <w:tblPrEx>
          <w:tblCellMar>
            <w:top w:w="0" w:type="dxa"/>
            <w:left w:w="108" w:type="dxa"/>
            <w:bottom w:w="0" w:type="dxa"/>
            <w:right w:w="108" w:type="dxa"/>
          </w:tblCellMar>
        </w:tblPrEx>
        <w:trPr>
          <w:trHeight w:val="454" w:hRule="atLeast"/>
        </w:trPr>
        <w:tc>
          <w:tcPr>
            <w:tcW w:w="561" w:type="pct"/>
            <w:vMerge w:val="continue"/>
            <w:tcBorders>
              <w:top w:val="nil"/>
              <w:left w:val="single" w:color="auto" w:sz="4" w:space="0"/>
              <w:bottom w:val="single" w:color="auto" w:sz="4" w:space="0"/>
              <w:right w:val="single" w:color="auto" w:sz="4" w:space="0"/>
            </w:tcBorders>
            <w:vAlign w:val="center"/>
          </w:tcPr>
          <w:p w14:paraId="09D0886F">
            <w:pPr>
              <w:spacing w:line="360" w:lineRule="auto"/>
              <w:ind w:firstLine="480" w:firstLineChars="200"/>
              <w:rPr>
                <w:rFonts w:hint="eastAsia" w:ascii="宋体" w:hAnsi="宋体" w:eastAsia="宋体" w:cs="宋体"/>
                <w:bCs/>
                <w:sz w:val="24"/>
                <w:szCs w:val="24"/>
              </w:rPr>
            </w:pPr>
          </w:p>
        </w:tc>
        <w:tc>
          <w:tcPr>
            <w:tcW w:w="1332" w:type="pct"/>
            <w:vMerge w:val="continue"/>
            <w:tcBorders>
              <w:top w:val="nil"/>
              <w:left w:val="single" w:color="auto" w:sz="4" w:space="0"/>
              <w:bottom w:val="single" w:color="auto" w:sz="4" w:space="0"/>
              <w:right w:val="single" w:color="auto" w:sz="4" w:space="0"/>
            </w:tcBorders>
            <w:vAlign w:val="center"/>
          </w:tcPr>
          <w:p w14:paraId="200ECDC3">
            <w:pPr>
              <w:spacing w:line="360" w:lineRule="auto"/>
              <w:ind w:firstLine="480" w:firstLineChars="200"/>
              <w:rPr>
                <w:rFonts w:hint="eastAsia" w:ascii="宋体" w:hAnsi="宋体" w:eastAsia="宋体" w:cs="宋体"/>
                <w:bCs/>
                <w:sz w:val="24"/>
                <w:szCs w:val="24"/>
              </w:rPr>
            </w:pPr>
          </w:p>
        </w:tc>
        <w:tc>
          <w:tcPr>
            <w:tcW w:w="1509" w:type="pct"/>
            <w:tcBorders>
              <w:top w:val="nil"/>
              <w:left w:val="nil"/>
              <w:bottom w:val="single" w:color="auto" w:sz="4" w:space="0"/>
              <w:right w:val="single" w:color="auto" w:sz="4" w:space="0"/>
            </w:tcBorders>
            <w:vAlign w:val="center"/>
          </w:tcPr>
          <w:p w14:paraId="72F87798">
            <w:pPr>
              <w:spacing w:line="360" w:lineRule="auto"/>
              <w:rPr>
                <w:rFonts w:hint="eastAsia" w:ascii="宋体" w:hAnsi="宋体" w:eastAsia="宋体" w:cs="宋体"/>
                <w:bCs/>
                <w:sz w:val="24"/>
                <w:szCs w:val="24"/>
              </w:rPr>
            </w:pPr>
            <w:r>
              <w:rPr>
                <w:rFonts w:hint="eastAsia" w:ascii="宋体" w:hAnsi="宋体" w:eastAsia="宋体" w:cs="宋体"/>
                <w:bCs/>
                <w:sz w:val="24"/>
                <w:szCs w:val="24"/>
              </w:rPr>
              <w:t>高分辨带染色体550带</w:t>
            </w:r>
          </w:p>
        </w:tc>
        <w:tc>
          <w:tcPr>
            <w:tcW w:w="952" w:type="pct"/>
            <w:vMerge w:val="continue"/>
            <w:tcBorders>
              <w:left w:val="nil"/>
              <w:bottom w:val="single" w:color="auto" w:sz="4" w:space="0"/>
              <w:right w:val="single" w:color="auto" w:sz="4" w:space="0"/>
            </w:tcBorders>
          </w:tcPr>
          <w:p w14:paraId="197385CF">
            <w:pPr>
              <w:spacing w:line="360" w:lineRule="auto"/>
              <w:rPr>
                <w:rFonts w:hint="eastAsia" w:ascii="宋体" w:hAnsi="宋体" w:eastAsia="宋体" w:cs="宋体"/>
                <w:bCs/>
                <w:sz w:val="24"/>
                <w:szCs w:val="24"/>
              </w:rPr>
            </w:pPr>
          </w:p>
        </w:tc>
        <w:tc>
          <w:tcPr>
            <w:tcW w:w="643" w:type="pct"/>
            <w:vMerge w:val="continue"/>
            <w:tcBorders>
              <w:left w:val="nil"/>
              <w:bottom w:val="single" w:color="auto" w:sz="4" w:space="0"/>
              <w:right w:val="single" w:color="auto" w:sz="4" w:space="0"/>
            </w:tcBorders>
          </w:tcPr>
          <w:p w14:paraId="1EEC8CE4">
            <w:pPr>
              <w:spacing w:line="360" w:lineRule="auto"/>
              <w:rPr>
                <w:rFonts w:hint="eastAsia" w:ascii="宋体" w:hAnsi="宋体" w:eastAsia="宋体" w:cs="宋体"/>
                <w:bCs/>
                <w:sz w:val="24"/>
                <w:szCs w:val="24"/>
              </w:rPr>
            </w:pPr>
          </w:p>
        </w:tc>
      </w:tr>
    </w:tbl>
    <w:p w14:paraId="61F878E6">
      <w:pPr>
        <w:rPr>
          <w:rFonts w:hint="eastAsia" w:ascii="宋体" w:hAnsi="宋体" w:eastAsia="宋体" w:cs="宋体"/>
          <w:b/>
          <w:bCs/>
          <w:sz w:val="24"/>
          <w:szCs w:val="24"/>
        </w:rPr>
      </w:pPr>
    </w:p>
    <w:p w14:paraId="208CA020">
      <w:pPr>
        <w:rPr>
          <w:rFonts w:hint="eastAsia" w:ascii="宋体" w:hAnsi="宋体" w:eastAsia="宋体" w:cs="宋体"/>
          <w:b/>
          <w:bCs/>
          <w:sz w:val="24"/>
          <w:szCs w:val="24"/>
        </w:rPr>
      </w:pPr>
      <w:r>
        <w:rPr>
          <w:rFonts w:hint="eastAsia" w:ascii="宋体" w:hAnsi="宋体" w:eastAsia="宋体" w:cs="宋体"/>
          <w:b/>
          <w:bCs/>
          <w:sz w:val="24"/>
          <w:szCs w:val="24"/>
        </w:rPr>
        <w:t>三、商务要求</w:t>
      </w:r>
    </w:p>
    <w:p w14:paraId="4DE7B7AD">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kern w:val="0"/>
          <w:sz w:val="24"/>
          <w:szCs w:val="24"/>
        </w:rPr>
        <w:t>1、投标价：</w:t>
      </w:r>
      <w:r>
        <w:rPr>
          <w:rFonts w:hint="eastAsia" w:ascii="宋体" w:hAnsi="宋体" w:eastAsia="宋体" w:cs="宋体"/>
          <w:sz w:val="24"/>
          <w:szCs w:val="24"/>
        </w:rPr>
        <w:t>本次招标的检测项目占浙江省医疗服务价格收费标准的百分比（小写，小数点后保留两位，如：60.00）。所有检测项目的折扣率均须一致。</w:t>
      </w:r>
      <w:r>
        <w:rPr>
          <w:rFonts w:hint="eastAsia" w:ascii="宋体" w:hAnsi="宋体" w:eastAsia="宋体" w:cs="宋体"/>
          <w:snapToGrid w:val="0"/>
          <w:kern w:val="0"/>
          <w:sz w:val="24"/>
          <w:szCs w:val="24"/>
        </w:rPr>
        <w:t>如：投标人投标报价为60.00%，即中标后按</w:t>
      </w:r>
      <w:r>
        <w:rPr>
          <w:rFonts w:hint="eastAsia" w:ascii="宋体" w:hAnsi="宋体" w:eastAsia="宋体" w:cs="宋体"/>
          <w:sz w:val="24"/>
          <w:szCs w:val="24"/>
        </w:rPr>
        <w:t>检测项目浙江省医疗服务价格收费标准×60.00%的价格执行。</w:t>
      </w:r>
    </w:p>
    <w:p w14:paraId="4D7E4FB3">
      <w:pPr>
        <w:widowControl/>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标本外送检测服务费的收取具体为：标本外送检测服务费=∑（每个</w:t>
      </w:r>
      <w:r>
        <w:rPr>
          <w:rFonts w:hint="eastAsia" w:ascii="宋体" w:hAnsi="宋体" w:eastAsia="宋体" w:cs="宋体"/>
          <w:bCs/>
          <w:sz w:val="24"/>
          <w:szCs w:val="24"/>
        </w:rPr>
        <w:t>项目业务量</w:t>
      </w:r>
      <w:r>
        <w:rPr>
          <w:rFonts w:hint="eastAsia" w:ascii="宋体" w:hAnsi="宋体" w:eastAsia="宋体" w:cs="宋体"/>
          <w:sz w:val="24"/>
          <w:szCs w:val="24"/>
        </w:rPr>
        <w:t>×浙江省医疗服务价格收费标准）×投标价。</w:t>
      </w:r>
    </w:p>
    <w:p w14:paraId="01C4566E">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核算的唯一标准是浙江省医疗服务行业物价收费标准。</w:t>
      </w:r>
    </w:p>
    <w:p w14:paraId="6434699D">
      <w:pPr>
        <w:pStyle w:val="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合同期内投标价的调整：如物价收费标准上浮，按原收费标准×中标价执行；如物价收费标准下降，按下降后的收费标准×中标价执行。</w:t>
      </w:r>
    </w:p>
    <w:p w14:paraId="49C499F5">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检测服务费包括但不限于样本采集、运输服务，配套车辆设备，配备服务人员，</w:t>
      </w:r>
      <w:r>
        <w:rPr>
          <w:rFonts w:hint="eastAsia" w:ascii="宋体" w:hAnsi="宋体" w:eastAsia="宋体" w:cs="宋体"/>
          <w:kern w:val="1"/>
          <w:sz w:val="24"/>
          <w:szCs w:val="24"/>
        </w:rPr>
        <w:t>售后服务，</w:t>
      </w:r>
      <w:r>
        <w:rPr>
          <w:rFonts w:hint="eastAsia" w:ascii="宋体" w:hAnsi="宋体" w:eastAsia="宋体" w:cs="宋体"/>
          <w:kern w:val="0"/>
          <w:sz w:val="24"/>
          <w:szCs w:val="24"/>
        </w:rPr>
        <w:t>质量监控信息</w:t>
      </w:r>
      <w:r>
        <w:rPr>
          <w:rFonts w:hint="eastAsia" w:ascii="宋体" w:hAnsi="宋体" w:eastAsia="宋体" w:cs="宋体"/>
          <w:sz w:val="24"/>
          <w:szCs w:val="24"/>
        </w:rPr>
        <w:t>，外送标本检测成本等</w:t>
      </w:r>
      <w:r>
        <w:rPr>
          <w:rFonts w:hint="eastAsia" w:ascii="宋体" w:hAnsi="宋体" w:eastAsia="宋体" w:cs="宋体"/>
          <w:kern w:val="1"/>
          <w:sz w:val="24"/>
          <w:szCs w:val="24"/>
        </w:rPr>
        <w:t>完成本项目所产生的一切费用，</w:t>
      </w:r>
      <w:r>
        <w:rPr>
          <w:rFonts w:hint="eastAsia" w:ascii="宋体" w:hAnsi="宋体" w:eastAsia="宋体" w:cs="宋体"/>
          <w:sz w:val="24"/>
          <w:szCs w:val="24"/>
        </w:rPr>
        <w:t>医院除标本外送检测服务费</w:t>
      </w:r>
      <w:r>
        <w:rPr>
          <w:rFonts w:hint="eastAsia" w:ascii="宋体" w:hAnsi="宋体" w:eastAsia="宋体" w:cs="宋体"/>
          <w:bCs/>
          <w:sz w:val="24"/>
          <w:szCs w:val="24"/>
        </w:rPr>
        <w:t>，不再另外支付任何其他费用。</w:t>
      </w:r>
    </w:p>
    <w:p w14:paraId="16532865">
      <w:pPr>
        <w:spacing w:line="360" w:lineRule="auto"/>
        <w:ind w:firstLine="480" w:firstLineChars="200"/>
        <w:rPr>
          <w:rFonts w:hint="eastAsia" w:ascii="宋体" w:hAnsi="宋体" w:eastAsia="宋体" w:cs="宋体"/>
          <w:bCs/>
          <w:kern w:val="24"/>
          <w:sz w:val="24"/>
          <w:szCs w:val="24"/>
        </w:rPr>
      </w:pPr>
      <w:r>
        <w:rPr>
          <w:rFonts w:hint="eastAsia" w:ascii="宋体" w:hAnsi="宋体" w:eastAsia="宋体" w:cs="宋体"/>
          <w:bCs/>
          <w:kern w:val="24"/>
          <w:sz w:val="24"/>
          <w:szCs w:val="24"/>
        </w:rPr>
        <w:t>2、付款方式</w:t>
      </w:r>
    </w:p>
    <w:p w14:paraId="0F415CBF">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2.1 检测费用按月结算，业务量的结算以</w:t>
      </w:r>
      <w:r>
        <w:rPr>
          <w:rFonts w:hint="eastAsia" w:ascii="宋体" w:hAnsi="宋体" w:eastAsia="宋体" w:cs="宋体"/>
          <w:sz w:val="24"/>
          <w:szCs w:val="24"/>
        </w:rPr>
        <w:t>结算周期内项目检测清单或</w:t>
      </w:r>
      <w:r>
        <w:rPr>
          <w:rFonts w:hint="eastAsia" w:ascii="宋体" w:hAnsi="宋体" w:eastAsia="宋体" w:cs="宋体"/>
          <w:bCs/>
          <w:sz w:val="24"/>
          <w:szCs w:val="24"/>
        </w:rPr>
        <w:t>每月外送标本登记的签收记录为基准。</w:t>
      </w:r>
    </w:p>
    <w:p w14:paraId="598FCBC0">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2.2 每月就上月检测项目进行结算。</w:t>
      </w:r>
    </w:p>
    <w:p w14:paraId="7C885FB6">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2.3 经双方共同确认检测数量无异议后，医院在收到中标方的发票后支付检测服务费用。</w:t>
      </w:r>
    </w:p>
    <w:p w14:paraId="16CCB697">
      <w:pPr>
        <w:pStyle w:val="3"/>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3、服务期限：</w:t>
      </w:r>
      <w:r>
        <w:rPr>
          <w:rFonts w:hint="eastAsia" w:ascii="宋体" w:hAnsi="宋体" w:eastAsia="宋体" w:cs="宋体"/>
          <w:sz w:val="24"/>
          <w:szCs w:val="24"/>
          <w:lang w:val="zh-CN"/>
        </w:rPr>
        <w:t>2年。</w:t>
      </w:r>
    </w:p>
    <w:p w14:paraId="468580DE">
      <w:pPr>
        <w:spacing w:line="360" w:lineRule="auto"/>
        <w:ind w:firstLine="480" w:firstLineChars="200"/>
        <w:rPr>
          <w:rFonts w:hint="eastAsia" w:ascii="宋体" w:hAnsi="宋体" w:eastAsia="宋体" w:cs="宋体"/>
          <w:kern w:val="1"/>
          <w:sz w:val="24"/>
          <w:szCs w:val="24"/>
        </w:rPr>
      </w:pPr>
      <w:r>
        <w:rPr>
          <w:rFonts w:hint="eastAsia" w:ascii="宋体" w:hAnsi="宋体" w:eastAsia="宋体" w:cs="宋体"/>
          <w:kern w:val="1"/>
          <w:sz w:val="24"/>
          <w:szCs w:val="24"/>
        </w:rPr>
        <w:t>4.其他</w:t>
      </w:r>
    </w:p>
    <w:p w14:paraId="0AAD9F77">
      <w:pPr>
        <w:widowControl/>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4.1报告时间延迟半天扣检测费的50%，延迟一天检测费减免，如造成投诉纠纷需承担相应责任。五次以上延迟报告的，采购人有权提前解除合同。</w:t>
      </w:r>
    </w:p>
    <w:p w14:paraId="41CB5167">
      <w:pPr>
        <w:widowControl/>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4.2检测结果的准确性：对结果有差异的，中标人应无条件免费复查。</w:t>
      </w:r>
    </w:p>
    <w:p w14:paraId="2FFEA69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4.3中标方对检验结果负责，因检验结果问题引起的医疗纠纷，对患方的所有赔（补）偿费用完全由中标方支付，同时中标方应对医院进行相应赔偿。</w:t>
      </w:r>
    </w:p>
    <w:p w14:paraId="574A0EAD">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4.4中标人应根据采购人的要求，为采购人提供分析前样本的质量控制等相关内容的培训服务，按照医院的要求维护所有必需的质量控制项目，每季度提交质量控制数据记录。</w:t>
      </w:r>
    </w:p>
    <w:p w14:paraId="4F21ED8C">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4.5合同签订后医院有新增加项目，中标方应同意并按已签订合同的折扣执行，否则医院有权另行委托其他第三方检测机构。</w:t>
      </w:r>
    </w:p>
    <w:p w14:paraId="63A2E08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4.6合同期内，检测项目医院有能力自行开展的，医院可自行检测，可随时不再委托中标人进行检测。中标折扣率不予以调整。</w:t>
      </w:r>
    </w:p>
    <w:p w14:paraId="7A8BD475">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4.7采购人将不定期组织专家至中标方现场检查、督导并查看试剂、设备等采购相关台账，如发现中标方存在提供虚假信息或未经院方同意私自更改使用试剂的品牌和检验项目的方法学等现象，采购人有权立即终止合同，中标方需按已做项目的收费金额赔偿院方，并承担所有相关违约责任。</w:t>
      </w:r>
    </w:p>
    <w:p w14:paraId="616288A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4.8中标方必须严格遵守《中华人民共和国人类遗传资源管理条例》，如有违反，所有责任由中标方承担。</w:t>
      </w:r>
    </w:p>
    <w:p w14:paraId="6A52BC5B">
      <w:pPr>
        <w:rPr>
          <w:rFonts w:hint="eastAsia" w:ascii="宋体" w:hAnsi="宋体" w:eastAsia="宋体" w:cs="宋体"/>
          <w:sz w:val="24"/>
          <w:szCs w:val="24"/>
        </w:rPr>
      </w:pPr>
    </w:p>
    <w:sectPr>
      <w:pgSz w:w="11906" w:h="16838"/>
      <w:pgMar w:top="1440" w:right="1349" w:bottom="1440" w:left="134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7A3"/>
    <w:rsid w:val="00006FB5"/>
    <w:rsid w:val="0007183B"/>
    <w:rsid w:val="00082A8A"/>
    <w:rsid w:val="00087C7E"/>
    <w:rsid w:val="00166F58"/>
    <w:rsid w:val="001D1228"/>
    <w:rsid w:val="0022250D"/>
    <w:rsid w:val="002838AC"/>
    <w:rsid w:val="002859BD"/>
    <w:rsid w:val="002A46C0"/>
    <w:rsid w:val="0033382B"/>
    <w:rsid w:val="003C692E"/>
    <w:rsid w:val="003E7BBF"/>
    <w:rsid w:val="00400F89"/>
    <w:rsid w:val="004572CF"/>
    <w:rsid w:val="00607D87"/>
    <w:rsid w:val="006828E8"/>
    <w:rsid w:val="006B07C4"/>
    <w:rsid w:val="006B4530"/>
    <w:rsid w:val="006E4D9E"/>
    <w:rsid w:val="007801FE"/>
    <w:rsid w:val="0082006D"/>
    <w:rsid w:val="0085757B"/>
    <w:rsid w:val="0087400D"/>
    <w:rsid w:val="008B24E3"/>
    <w:rsid w:val="00911195"/>
    <w:rsid w:val="00936579"/>
    <w:rsid w:val="009C69B3"/>
    <w:rsid w:val="00A15955"/>
    <w:rsid w:val="00B17965"/>
    <w:rsid w:val="00B22AA9"/>
    <w:rsid w:val="00B2781A"/>
    <w:rsid w:val="00B82FA6"/>
    <w:rsid w:val="00BB5D82"/>
    <w:rsid w:val="00BF1867"/>
    <w:rsid w:val="00C127A3"/>
    <w:rsid w:val="00C14864"/>
    <w:rsid w:val="00C363FF"/>
    <w:rsid w:val="00C85EBF"/>
    <w:rsid w:val="00CA4C65"/>
    <w:rsid w:val="00D73B7D"/>
    <w:rsid w:val="00DB1958"/>
    <w:rsid w:val="00DB4AAA"/>
    <w:rsid w:val="00DC7D6E"/>
    <w:rsid w:val="00E222AA"/>
    <w:rsid w:val="00E50AD2"/>
    <w:rsid w:val="00E57B6C"/>
    <w:rsid w:val="00E7117B"/>
    <w:rsid w:val="00EB5F62"/>
    <w:rsid w:val="00EB7D63"/>
    <w:rsid w:val="00F352F0"/>
    <w:rsid w:val="0FCD3553"/>
    <w:rsid w:val="38D73F79"/>
    <w:rsid w:val="44682BFB"/>
    <w:rsid w:val="57D8194F"/>
    <w:rsid w:val="642411FA"/>
    <w:rsid w:val="7ACE4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3"/>
    <w:semiHidden/>
    <w:unhideWhenUsed/>
    <w:qFormat/>
    <w:uiPriority w:val="99"/>
    <w:pPr>
      <w:spacing w:after="120"/>
    </w:pPr>
  </w:style>
  <w:style w:type="paragraph" w:styleId="3">
    <w:name w:val="Plain Text"/>
    <w:basedOn w:val="1"/>
    <w:link w:val="16"/>
    <w:qFormat/>
    <w:uiPriority w:val="0"/>
    <w:pPr>
      <w:adjustRightInd w:val="0"/>
    </w:pPr>
    <w:rPr>
      <w:rFonts w:ascii="宋体" w:hAnsi="Courier New" w:cs="Arial"/>
      <w:snapToGrid w:val="0"/>
    </w:rPr>
  </w:style>
  <w:style w:type="paragraph" w:styleId="4">
    <w:name w:val="Body Text Indent 2"/>
    <w:basedOn w:val="1"/>
    <w:qFormat/>
    <w:uiPriority w:val="99"/>
    <w:pPr>
      <w:widowControl/>
      <w:spacing w:line="480" w:lineRule="atLeast"/>
      <w:ind w:firstLine="480"/>
    </w:pPr>
    <w:rPr>
      <w:rFonts w:ascii="宋体"/>
      <w:kern w:val="0"/>
      <w:sz w:val="24"/>
      <w:szCs w:val="20"/>
    </w:rPr>
  </w:style>
  <w:style w:type="paragraph" w:styleId="5">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Body Text First Indent"/>
    <w:basedOn w:val="2"/>
    <w:link w:val="14"/>
    <w:semiHidden/>
    <w:unhideWhenUsed/>
    <w:qFormat/>
    <w:uiPriority w:val="99"/>
    <w:pPr>
      <w:ind w:firstLine="420" w:firstLineChars="100"/>
    </w:pPr>
  </w:style>
  <w:style w:type="character" w:customStyle="1" w:styleId="10">
    <w:name w:val="页眉 Char"/>
    <w:basedOn w:val="9"/>
    <w:link w:val="6"/>
    <w:qFormat/>
    <w:uiPriority w:val="99"/>
    <w:rPr>
      <w:sz w:val="18"/>
      <w:szCs w:val="18"/>
    </w:rPr>
  </w:style>
  <w:style w:type="character" w:customStyle="1" w:styleId="11">
    <w:name w:val="页脚 Char"/>
    <w:basedOn w:val="9"/>
    <w:link w:val="5"/>
    <w:qFormat/>
    <w:uiPriority w:val="99"/>
    <w:rPr>
      <w:sz w:val="18"/>
      <w:szCs w:val="18"/>
    </w:rPr>
  </w:style>
  <w:style w:type="paragraph" w:styleId="12">
    <w:name w:val="List Paragraph"/>
    <w:basedOn w:val="1"/>
    <w:qFormat/>
    <w:uiPriority w:val="99"/>
    <w:pPr>
      <w:ind w:firstLine="420" w:firstLineChars="200"/>
    </w:pPr>
  </w:style>
  <w:style w:type="character" w:customStyle="1" w:styleId="13">
    <w:name w:val="正文文本 Char"/>
    <w:basedOn w:val="9"/>
    <w:link w:val="2"/>
    <w:semiHidden/>
    <w:qFormat/>
    <w:uiPriority w:val="99"/>
    <w:rPr>
      <w:rFonts w:cs="Calibri"/>
      <w:kern w:val="2"/>
      <w:sz w:val="21"/>
      <w:szCs w:val="21"/>
    </w:rPr>
  </w:style>
  <w:style w:type="character" w:customStyle="1" w:styleId="14">
    <w:name w:val="正文首行缩进 Char"/>
    <w:basedOn w:val="13"/>
    <w:link w:val="7"/>
    <w:semiHidden/>
    <w:qFormat/>
    <w:uiPriority w:val="99"/>
    <w:rPr>
      <w:rFonts w:cs="Calibri"/>
      <w:kern w:val="2"/>
      <w:sz w:val="21"/>
      <w:szCs w:val="21"/>
    </w:rPr>
  </w:style>
  <w:style w:type="character" w:customStyle="1" w:styleId="15">
    <w:name w:val="纯文本 字符"/>
    <w:basedOn w:val="9"/>
    <w:semiHidden/>
    <w:qFormat/>
    <w:uiPriority w:val="99"/>
    <w:rPr>
      <w:rFonts w:hAnsi="Courier New" w:cs="Courier New" w:asciiTheme="minorEastAsia" w:eastAsiaTheme="minorEastAsia"/>
      <w:kern w:val="2"/>
      <w:sz w:val="21"/>
      <w:szCs w:val="21"/>
    </w:rPr>
  </w:style>
  <w:style w:type="character" w:customStyle="1" w:styleId="16">
    <w:name w:val="纯文本 Char"/>
    <w:link w:val="3"/>
    <w:qFormat/>
    <w:uiPriority w:val="0"/>
    <w:rPr>
      <w:rFonts w:ascii="宋体" w:hAnsi="Courier New" w:cs="Arial"/>
      <w:snapToGrid w:val="0"/>
      <w:kern w:val="2"/>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1667</Words>
  <Characters>1725</Characters>
  <Lines>12</Lines>
  <Paragraphs>3</Paragraphs>
  <TotalTime>111</TotalTime>
  <ScaleCrop>false</ScaleCrop>
  <LinksUpToDate>false</LinksUpToDate>
  <CharactersWithSpaces>1728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2021-02-05T08:42:00Z</dcterms:created>
  <dc:creator>hp</dc:creator>
  <cp:lastModifiedBy>白思思</cp:lastModifiedBy>
  <dcterms:modified xsi:type="dcterms:W3CDTF">2026-01-20T01:56:01Z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659EB5F9923F42C49E45B66035A9FB7A_13</vt:lpwstr>
  </property>
  <property fmtid="{D5CDD505-2E9C-101B-9397-08002B2CF9AE}" pid="4" name="KSOTemplateDocerSaveRecord">
    <vt:lpwstr>eyJoZGlkIjoiNzU0ODliYjYzN2MzNDJiZWJlNWFlNzVmOWI2ZDg2ZTAiLCJ1c2VySWQiOiIxNjQxNDE2MTE2In0=</vt:lpwstr>
  </property>
</Properties>
</file>