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25C38A">
      <w:pPr>
        <w:keepNext/>
        <w:keepLines/>
        <w:widowControl w:val="0"/>
        <w:spacing w:before="340" w:after="330" w:line="576" w:lineRule="auto"/>
        <w:jc w:val="center"/>
        <w:outlineLvl w:val="0"/>
        <w:rPr>
          <w:rFonts w:ascii="Calibri" w:hAnsi="Calibri" w:eastAsia="宋体" w:cs="Times New Roman"/>
          <w:b/>
          <w:kern w:val="44"/>
          <w:sz w:val="36"/>
          <w:szCs w:val="24"/>
          <w:lang w:val="en-US" w:eastAsia="zh-CN" w:bidi="ar-SA"/>
        </w:rPr>
      </w:pPr>
      <w:r>
        <w:rPr>
          <w:rFonts w:hint="eastAsia" w:ascii="Calibri" w:hAnsi="Calibri" w:eastAsia="宋体" w:cs="Times New Roman"/>
          <w:b/>
          <w:kern w:val="44"/>
          <w:sz w:val="36"/>
          <w:szCs w:val="24"/>
          <w:lang w:val="en-US" w:eastAsia="zh-CN" w:bidi="ar-SA"/>
        </w:rPr>
        <w:t>浙江大学医学院附属儿童医院</w:t>
      </w:r>
    </w:p>
    <w:p w14:paraId="3D1061DD">
      <w:pPr>
        <w:keepNext/>
        <w:keepLines/>
        <w:widowControl w:val="0"/>
        <w:spacing w:before="340" w:after="330" w:line="576" w:lineRule="auto"/>
        <w:jc w:val="center"/>
        <w:outlineLvl w:val="0"/>
        <w:rPr>
          <w:rFonts w:hint="eastAsia" w:ascii="Calibri" w:hAnsi="Calibri" w:eastAsia="宋体" w:cs="Times New Roman"/>
          <w:b/>
          <w:kern w:val="44"/>
          <w:sz w:val="36"/>
          <w:szCs w:val="24"/>
          <w:lang w:val="en-US" w:eastAsia="zh-CN" w:bidi="ar-SA"/>
        </w:rPr>
      </w:pPr>
      <w:r>
        <w:rPr>
          <w:rFonts w:hint="eastAsia" w:ascii="Calibri" w:hAnsi="Calibri" w:eastAsia="宋体" w:cs="Times New Roman"/>
          <w:b/>
          <w:kern w:val="44"/>
          <w:sz w:val="36"/>
          <w:szCs w:val="24"/>
          <w:lang w:val="en-US" w:eastAsia="zh-CN" w:bidi="ar-SA"/>
        </w:rPr>
        <w:t>钉钉智慧办公服务项目</w:t>
      </w:r>
    </w:p>
    <w:p w14:paraId="3CDFC419">
      <w:pPr>
        <w:keepNext/>
        <w:keepLines/>
        <w:widowControl w:val="0"/>
        <w:spacing w:before="260" w:after="260" w:line="413" w:lineRule="auto"/>
        <w:jc w:val="both"/>
        <w:outlineLvl w:val="1"/>
        <w:rPr>
          <w:rFonts w:ascii="Arial" w:hAnsi="Arial" w:eastAsia="黑体" w:cs="Times New Roman"/>
          <w:b/>
          <w:kern w:val="2"/>
          <w:sz w:val="32"/>
          <w:szCs w:val="24"/>
          <w:lang w:val="en-US" w:eastAsia="zh-CN" w:bidi="ar-SA"/>
        </w:rPr>
      </w:pPr>
      <w:r>
        <w:rPr>
          <w:rFonts w:hint="eastAsia" w:ascii="Arial" w:hAnsi="Arial" w:eastAsia="黑体" w:cs="Times New Roman"/>
          <w:b/>
          <w:kern w:val="2"/>
          <w:sz w:val="32"/>
          <w:szCs w:val="24"/>
          <w:lang w:val="en-US" w:eastAsia="zh-CN" w:bidi="ar-SA"/>
        </w:rPr>
        <w:t>一、 项目概况与总体要求</w:t>
      </w:r>
    </w:p>
    <w:p w14:paraId="55538AB2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项目背景：为推进医院信息化、数字化建设，提升协同办公效率与管理水平，保障全院（总人数4000+）日常办公、大型沟通、公文流转、资源调度等核心业务的高效、安全、稳定运行，现计划采购一套集成化的办公平台及相关应用服务。</w:t>
      </w:r>
    </w:p>
    <w:p w14:paraId="2DE099CA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总体要求：投标人须提供基于钉钉平台的整体解决方案，包含以下所有功能模块的一次性集成部署、授权、培训及一年期维保服务。各模块需实现数据互通与统一身份认证，提供无缝的用户体验。</w:t>
      </w:r>
    </w:p>
    <w:p w14:paraId="2118641F">
      <w:pPr>
        <w:rPr>
          <w:rFonts w:ascii="Calibri" w:hAnsi="Calibri"/>
          <w:sz w:val="24"/>
        </w:rPr>
      </w:pPr>
    </w:p>
    <w:p w14:paraId="65D7476A">
      <w:pPr>
        <w:keepNext/>
        <w:keepLines/>
        <w:widowControl w:val="0"/>
        <w:spacing w:before="260" w:after="260" w:line="413" w:lineRule="auto"/>
        <w:jc w:val="both"/>
        <w:outlineLvl w:val="1"/>
        <w:rPr>
          <w:rFonts w:ascii="Arial" w:hAnsi="Arial" w:eastAsia="黑体" w:cs="Times New Roman"/>
          <w:b/>
          <w:kern w:val="2"/>
          <w:sz w:val="32"/>
          <w:szCs w:val="24"/>
          <w:lang w:val="en-US" w:eastAsia="zh-CN" w:bidi="ar-SA"/>
        </w:rPr>
      </w:pPr>
      <w:r>
        <w:rPr>
          <w:rFonts w:hint="eastAsia" w:ascii="Arial" w:hAnsi="Arial" w:eastAsia="黑体" w:cs="Times New Roman"/>
          <w:b/>
          <w:kern w:val="2"/>
          <w:sz w:val="32"/>
          <w:szCs w:val="24"/>
          <w:lang w:val="en-US" w:eastAsia="zh-CN" w:bidi="ar-SA"/>
        </w:rPr>
        <w:t>二、 招标详细技术及服务参数</w:t>
      </w:r>
    </w:p>
    <w:p w14:paraId="67615372">
      <w:pPr>
        <w:keepNext/>
        <w:keepLines/>
        <w:widowControl w:val="0"/>
        <w:spacing w:before="260" w:after="260" w:line="413" w:lineRule="auto"/>
        <w:jc w:val="both"/>
        <w:outlineLvl w:val="2"/>
        <w:rPr>
          <w:rFonts w:ascii="Calibri" w:hAnsi="Calibri" w:eastAsia="宋体" w:cs="Times New Roman"/>
          <w:b/>
          <w:kern w:val="2"/>
          <w:sz w:val="32"/>
          <w:szCs w:val="24"/>
          <w:lang w:val="en-US" w:eastAsia="zh-CN" w:bidi="ar-SA"/>
        </w:rPr>
      </w:pPr>
      <w:r>
        <w:rPr>
          <w:rFonts w:hint="eastAsia" w:ascii="Calibri" w:hAnsi="Calibri" w:eastAsia="宋体" w:cs="Times New Roman"/>
          <w:b/>
          <w:kern w:val="2"/>
          <w:sz w:val="32"/>
          <w:szCs w:val="24"/>
          <w:lang w:val="en-US" w:eastAsia="zh-CN" w:bidi="ar-SA"/>
        </w:rPr>
        <w:t>1. 钉钉专业版</w:t>
      </w:r>
    </w:p>
    <w:p w14:paraId="6ED7C407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1.1 核心功能要求：</w:t>
      </w:r>
    </w:p>
    <w:p w14:paraId="211CCB13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必须提供完整的钉钉专业版SaaS服务及对应管理权限。</w:t>
      </w:r>
    </w:p>
    <w:p w14:paraId="1B2E365F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沟通协同：支持单聊、群聊，并提供聊天记录云端永久保存功能，支持按权限查询、回溯。</w:t>
      </w:r>
    </w:p>
    <w:p w14:paraId="396ECC82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文件存储：提供企业云盘（钉盘），具备团队空间、个人空间、文件共享、权限管控、在线预览、历史版本管理等功能。</w:t>
      </w:r>
    </w:p>
    <w:p w14:paraId="41435CF8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视频会议：支持高清稳定视频会议，具备屏幕共享、会议录制、实时字幕、互动白板、会议主持人管控等功能。</w:t>
      </w:r>
    </w:p>
    <w:p w14:paraId="4948665A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审批流程：提供OA审批专业版，支持自定义复杂审批流程、表单、智能路由、条件分支、数据关联与统计分析。</w:t>
      </w:r>
    </w:p>
    <w:p w14:paraId="7566D600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考勤管理：提供考勤专业版，支持多种排班方式（固定、轮班、弹性）、复杂考勤规则设置、人脸/定位打卡、排班管理与考勤报表分析。</w:t>
      </w:r>
    </w:p>
    <w:p w14:paraId="388679BF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安全与管理：提供高级管理与安全中心，包含成员信息安全审计、登录风险预警、自定义安全水印、设备管理、API调用监控、合规性支持等功能。</w:t>
      </w:r>
    </w:p>
    <w:p w14:paraId="7A95C9AF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门户定制：支持自定义组织工作台，可拖拽式配置不同部门、角色的专属工作首页，集成各类应用快捷入口。</w:t>
      </w:r>
    </w:p>
    <w:p w14:paraId="110D3AA6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高级功能：支持创建保密群（禁止转发、截屏水印）；提供充足的Ding消息额度；支持通过集成开发平台与院内现有系统进行低代码/原生集成；提供智能办公电话功能或对接能力。</w:t>
      </w:r>
    </w:p>
    <w:p w14:paraId="654C34C2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1.2 授权与容量要求：</w:t>
      </w:r>
    </w:p>
    <w:p w14:paraId="04F7B609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授权期限：自合同生效日起 12个月。</w:t>
      </w:r>
    </w:p>
    <w:p w14:paraId="6B43261F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用户授权数：不少于 5000个。</w:t>
      </w:r>
    </w:p>
    <w:p w14:paraId="112BDB32">
      <w:pPr>
        <w:keepNext/>
        <w:keepLines/>
        <w:widowControl w:val="0"/>
        <w:spacing w:before="260" w:after="260" w:line="413" w:lineRule="auto"/>
        <w:jc w:val="both"/>
        <w:outlineLvl w:val="2"/>
        <w:rPr>
          <w:rFonts w:ascii="Calibri" w:hAnsi="Calibri" w:eastAsia="宋体" w:cs="Times New Roman"/>
          <w:b/>
          <w:kern w:val="2"/>
          <w:sz w:val="32"/>
          <w:szCs w:val="24"/>
          <w:lang w:val="en-US" w:eastAsia="zh-CN" w:bidi="ar-SA"/>
        </w:rPr>
      </w:pPr>
      <w:r>
        <w:rPr>
          <w:rFonts w:hint="eastAsia" w:ascii="Calibri" w:hAnsi="Calibri" w:eastAsia="宋体" w:cs="Times New Roman"/>
          <w:b/>
          <w:kern w:val="2"/>
          <w:sz w:val="32"/>
          <w:szCs w:val="24"/>
          <w:lang w:val="en-US" w:eastAsia="zh-CN" w:bidi="ar-SA"/>
        </w:rPr>
        <w:t>2. 钉钉群扩容服务</w:t>
      </w:r>
    </w:p>
    <w:p w14:paraId="59AED182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2.1 功能要求：此为必选配套服务，用于解除标准群成员数量限制，确保全院性大规模线上沟通场景的可行性。</w:t>
      </w:r>
    </w:p>
    <w:p w14:paraId="05CC9D21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2.2 服务标准：</w:t>
      </w:r>
    </w:p>
    <w:p w14:paraId="2113F576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服务期限：与钉钉专业版授权期同步，12个月。</w:t>
      </w:r>
    </w:p>
    <w:p w14:paraId="5AA2774E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扩容标准：必须将本单位下的全员群、部门群、内部群等类型的群成员上限，永久性提升至支持不少于5000人，并保证在此规模下群消息收发、公告、直播等基础功能的稳定与流畅。</w:t>
      </w:r>
    </w:p>
    <w:p w14:paraId="5F2F09BA">
      <w:pPr>
        <w:keepNext/>
        <w:keepLines/>
        <w:widowControl w:val="0"/>
        <w:spacing w:before="260" w:after="260" w:line="413" w:lineRule="auto"/>
        <w:jc w:val="both"/>
        <w:outlineLvl w:val="2"/>
        <w:rPr>
          <w:rFonts w:ascii="Calibri" w:hAnsi="Calibri" w:eastAsia="宋体" w:cs="Times New Roman"/>
          <w:b/>
          <w:kern w:val="2"/>
          <w:sz w:val="32"/>
          <w:szCs w:val="24"/>
          <w:highlight w:val="none"/>
          <w:lang w:val="en-US" w:eastAsia="zh-CN" w:bidi="ar-SA"/>
        </w:rPr>
      </w:pPr>
      <w:r>
        <w:rPr>
          <w:rFonts w:hint="eastAsia" w:ascii="Calibri" w:hAnsi="Calibri" w:eastAsia="宋体" w:cs="Times New Roman"/>
          <w:b/>
          <w:kern w:val="2"/>
          <w:sz w:val="32"/>
          <w:szCs w:val="24"/>
          <w:highlight w:val="none"/>
          <w:lang w:val="en-US" w:eastAsia="zh-CN" w:bidi="ar-SA"/>
        </w:rPr>
        <w:t>3. 有成会议管理系统</w:t>
      </w:r>
    </w:p>
    <w:p w14:paraId="739A176B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3.1 核心功能要求：</w:t>
      </w:r>
      <w:bookmarkStart w:id="0" w:name="_GoBack"/>
      <w:bookmarkEnd w:id="0"/>
    </w:p>
    <w:p w14:paraId="6AB0D822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资源预约管理：提供可视化、日历化的会议室（及可能扩展的其他资源，如设备）线上预约系统。支持按会议室、时间、部门、人员查询与预约，有效防止资源调度冲突，降低闲置率。</w:t>
      </w:r>
    </w:p>
    <w:p w14:paraId="7A5E848B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审批流程：预约可关联自定义审批流（如部门负责人审批），实现规范化管理。</w:t>
      </w:r>
    </w:p>
    <w:p w14:paraId="13819DB5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大型会议快速扩容：必须提供与钉钉视频会议联动的能力，能够将任意已预约的实体会议室一键升级为大型线上视频会议室，线上参会容量应能瞬时满足大规模需求。</w:t>
      </w:r>
    </w:p>
    <w:p w14:paraId="4A9768C5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数据报表：提供会议室使用率、预约统计等分析报表。</w:t>
      </w:r>
    </w:p>
    <w:p w14:paraId="21552B8B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3.2 授权与集成要求：</w:t>
      </w:r>
    </w:p>
    <w:p w14:paraId="7FF760E6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授权期限：自合同生效日起 12个月。</w:t>
      </w:r>
    </w:p>
    <w:p w14:paraId="12D9B154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用户范围：系统管理后台及预约功能面向全院员工（不少于4000人）无限制使用。</w:t>
      </w:r>
    </w:p>
    <w:p w14:paraId="038210BE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会议容量：必须包含有成会议人数扩容服务，确保通过本系统发起的单个线上视频会议，最大稳定支持不少于5000人同时参会。</w:t>
      </w:r>
    </w:p>
    <w:p w14:paraId="29CBD380">
      <w:pPr>
        <w:keepNext/>
        <w:keepLines/>
        <w:widowControl w:val="0"/>
        <w:spacing w:before="260" w:after="260" w:line="413" w:lineRule="auto"/>
        <w:jc w:val="both"/>
        <w:outlineLvl w:val="2"/>
        <w:rPr>
          <w:rFonts w:ascii="Calibri" w:hAnsi="Calibri" w:eastAsia="宋体" w:cs="Times New Roman"/>
          <w:b/>
          <w:kern w:val="2"/>
          <w:sz w:val="32"/>
          <w:szCs w:val="24"/>
          <w:lang w:val="en-US" w:eastAsia="zh-CN" w:bidi="ar-SA"/>
        </w:rPr>
      </w:pPr>
      <w:r>
        <w:rPr>
          <w:rFonts w:hint="eastAsia" w:ascii="Calibri" w:hAnsi="Calibri" w:eastAsia="宋体" w:cs="Times New Roman"/>
          <w:b/>
          <w:kern w:val="2"/>
          <w:sz w:val="32"/>
          <w:szCs w:val="24"/>
          <w:lang w:val="en-US" w:eastAsia="zh-CN" w:bidi="ar-SA"/>
        </w:rPr>
        <w:t>4. WPS高清预览插件</w:t>
      </w:r>
    </w:p>
    <w:p w14:paraId="79AF125D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4.1 功能要求：</w:t>
      </w:r>
    </w:p>
    <w:p w14:paraId="223C082C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实现在钉钉聊天、钉盘、邮件等场景中，对上传的各类文档（包括但不限于.doc, .docx, .xls, .xlsx, .ppt, .pptx, .pdf以及党政机关专用的.ofd等格式）进行高保真、原版式的在线预览。</w:t>
      </w:r>
    </w:p>
    <w:p w14:paraId="2A9FA2B4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确保文档中的复杂排版、图表、公式、字体、水印等元素均能正确、清晰显示，杜绝出现乱码、版式错乱或内容缺失。</w:t>
      </w:r>
    </w:p>
    <w:p w14:paraId="568C7F71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预览过程在云端完成，不依赖终端安装Office软件，且文件数据在云端处理需满足安全要求。</w:t>
      </w:r>
    </w:p>
    <w:p w14:paraId="62ACBEF0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4.2 授权要求：</w:t>
      </w:r>
    </w:p>
    <w:p w14:paraId="6ECC6662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授权期限：自合同生效日起 12个月。</w:t>
      </w:r>
    </w:p>
    <w:p w14:paraId="44E8AF74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授权范围：服务于全院所有钉钉用户。</w:t>
      </w:r>
    </w:p>
    <w:p w14:paraId="71BE3B02">
      <w:pPr>
        <w:keepNext/>
        <w:keepLines/>
        <w:widowControl w:val="0"/>
        <w:spacing w:before="260" w:after="260" w:line="413" w:lineRule="auto"/>
        <w:jc w:val="both"/>
        <w:outlineLvl w:val="2"/>
        <w:rPr>
          <w:rFonts w:ascii="Calibri" w:hAnsi="Calibri" w:eastAsia="宋体" w:cs="Times New Roman"/>
          <w:b/>
          <w:kern w:val="2"/>
          <w:sz w:val="32"/>
          <w:szCs w:val="24"/>
          <w:lang w:val="en-US" w:eastAsia="zh-CN" w:bidi="ar-SA"/>
        </w:rPr>
      </w:pPr>
      <w:r>
        <w:rPr>
          <w:rFonts w:hint="eastAsia" w:ascii="Calibri" w:hAnsi="Calibri" w:eastAsia="宋体" w:cs="Times New Roman"/>
          <w:b/>
          <w:kern w:val="2"/>
          <w:sz w:val="32"/>
          <w:szCs w:val="24"/>
          <w:lang w:val="en-US" w:eastAsia="zh-CN" w:bidi="ar-SA"/>
        </w:rPr>
        <w:t>5. 公文管理系统</w:t>
      </w:r>
    </w:p>
    <w:p w14:paraId="7D973773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5.1 核心功能要求：</w:t>
      </w:r>
    </w:p>
    <w:p w14:paraId="67C9AE17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公文种类：完整支持至少15种法定公文类型（如：决定、通知、公告、报告、请示、函、纪要等）的电子化拟制、流转与管理。</w:t>
      </w:r>
    </w:p>
    <w:p w14:paraId="3C621CD0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全流程管理：覆盖公文的拟稿、审核、会签、核稿、签发、盖章（集成电子签章或对接能力）、分发、传阅、归档等全生命周期环节。</w:t>
      </w:r>
    </w:p>
    <w:p w14:paraId="7BF96B02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跨组织流转：支持医院内部各部门之间，以及与外单位之间进行安全的公文交换。</w:t>
      </w:r>
    </w:p>
    <w:p w14:paraId="7B3DD854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权限与安全：具备严格的权限控制体系（按角色、部门、人员），支持密级管理、操作留痕、防扩散等功能。</w:t>
      </w:r>
    </w:p>
    <w:p w14:paraId="4BCCF49A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灵活与高效：支持模板管理、流程自定义、签批意见、移动端办理、催办与提醒、全文检索与高速归档。</w:t>
      </w:r>
    </w:p>
    <w:p w14:paraId="00159BA7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5.2 授权要求：</w:t>
      </w:r>
    </w:p>
    <w:p w14:paraId="1AD49683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授权期限：自合同生效日起 12个月。</w:t>
      </w:r>
    </w:p>
    <w:p w14:paraId="601F0BFF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授权范围：系统无用户数限制，确保全院涉及公文处理的所有岗位人员均可使用。</w:t>
      </w:r>
    </w:p>
    <w:p w14:paraId="7425E5A8">
      <w:pPr>
        <w:keepNext/>
        <w:keepLines/>
        <w:widowControl w:val="0"/>
        <w:spacing w:before="260" w:after="260" w:line="413" w:lineRule="auto"/>
        <w:jc w:val="both"/>
        <w:outlineLvl w:val="2"/>
        <w:rPr>
          <w:rFonts w:ascii="Calibri" w:hAnsi="Calibri" w:eastAsia="宋体" w:cs="Times New Roman"/>
          <w:b/>
          <w:kern w:val="2"/>
          <w:sz w:val="32"/>
          <w:szCs w:val="24"/>
          <w:lang w:val="en-US" w:eastAsia="zh-CN" w:bidi="ar-SA"/>
        </w:rPr>
      </w:pPr>
      <w:r>
        <w:rPr>
          <w:rFonts w:ascii="Calibri" w:hAnsi="Calibri" w:eastAsia="宋体" w:cs="Times New Roman"/>
          <w:b/>
          <w:kern w:val="2"/>
          <w:sz w:val="32"/>
          <w:szCs w:val="24"/>
          <w:lang w:val="en-US" w:eastAsia="zh-CN" w:bidi="ar-SA"/>
        </w:rPr>
        <w:t>6</w:t>
      </w:r>
      <w:r>
        <w:rPr>
          <w:rFonts w:hint="eastAsia" w:ascii="Calibri" w:hAnsi="Calibri" w:eastAsia="宋体" w:cs="Times New Roman"/>
          <w:b/>
          <w:kern w:val="2"/>
          <w:sz w:val="32"/>
          <w:szCs w:val="24"/>
          <w:lang w:val="en-US" w:eastAsia="zh-CN" w:bidi="ar-SA"/>
        </w:rPr>
        <w:t>. 项目维保服务</w:t>
      </w:r>
    </w:p>
    <w:p w14:paraId="67EA0F10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 xml:space="preserve">* </w:t>
      </w:r>
      <w:r>
        <w:rPr>
          <w:rFonts w:hint="eastAsia" w:ascii="Calibri" w:hAnsi="Calibri"/>
          <w:sz w:val="24"/>
          <w:lang w:val="en-US" w:eastAsia="zh-CN"/>
        </w:rPr>
        <w:t>6</w:t>
      </w:r>
      <w:r>
        <w:rPr>
          <w:rFonts w:hint="eastAsia" w:ascii="Calibri" w:hAnsi="Calibri"/>
          <w:sz w:val="24"/>
        </w:rPr>
        <w:t>.1 服务范围：涵盖本次招标采购的所有软件产品及服务（上述第1至6项），提供为期一年的技术维护与支持保障。</w:t>
      </w:r>
    </w:p>
    <w:p w14:paraId="21E24EEA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 xml:space="preserve">* </w:t>
      </w:r>
      <w:r>
        <w:rPr>
          <w:rFonts w:hint="eastAsia" w:ascii="Calibri" w:hAnsi="Calibri"/>
          <w:sz w:val="24"/>
          <w:lang w:val="en-US" w:eastAsia="zh-CN"/>
        </w:rPr>
        <w:t>6</w:t>
      </w:r>
      <w:r>
        <w:rPr>
          <w:rFonts w:hint="eastAsia" w:ascii="Calibri" w:hAnsi="Calibri"/>
          <w:sz w:val="24"/>
        </w:rPr>
        <w:t>.2 服务内容：</w:t>
      </w:r>
    </w:p>
    <w:p w14:paraId="007AE04F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技术支持：提供7x24小时电话、在线运维等技术支持渠道，用于解答产品使用问题、处理故障咨询。</w:t>
      </w:r>
    </w:p>
    <w:p w14:paraId="054FA63D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故障处理：对系统运行中出现的故障，提供明确的服务等级协议（SLA），例如：严重故障（系统完全不可用）2小时内响应，4小时内提供解决方案或恢复。</w:t>
      </w:r>
    </w:p>
    <w:p w14:paraId="3E8F60BD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>* 产品保障：在维保期内，免费提供所有产品的版本功能更新（不含重大版本升级可能产生的新费用）及安全补丁更新。</w:t>
      </w:r>
    </w:p>
    <w:p w14:paraId="7F5D12EB">
      <w:pPr>
        <w:spacing w:line="360" w:lineRule="auto"/>
        <w:ind w:firstLine="480" w:firstLineChars="200"/>
        <w:rPr>
          <w:rFonts w:ascii="Calibri" w:hAnsi="Calibri"/>
          <w:sz w:val="24"/>
        </w:rPr>
      </w:pPr>
      <w:r>
        <w:rPr>
          <w:rFonts w:hint="eastAsia" w:ascii="Calibri" w:hAnsi="Calibri"/>
          <w:sz w:val="24"/>
        </w:rPr>
        <w:t xml:space="preserve">* </w:t>
      </w:r>
      <w:r>
        <w:rPr>
          <w:rFonts w:hint="eastAsia" w:ascii="Calibri" w:hAnsi="Calibri"/>
          <w:sz w:val="24"/>
          <w:lang w:val="en-US" w:eastAsia="zh-CN"/>
        </w:rPr>
        <w:t>6</w:t>
      </w:r>
      <w:r>
        <w:rPr>
          <w:rFonts w:hint="eastAsia" w:ascii="Calibri" w:hAnsi="Calibri"/>
          <w:sz w:val="24"/>
        </w:rPr>
        <w:t>.3 服务期限：自合同生效日起 12个月。</w:t>
      </w:r>
    </w:p>
    <w:p w14:paraId="178B034F">
      <w:pPr>
        <w:widowControl w:val="0"/>
        <w:spacing w:after="120"/>
        <w:jc w:val="both"/>
        <w:rPr>
          <w:rFonts w:ascii="Calibri" w:hAnsi="Calibri" w:eastAsia="宋体" w:cs="Times New Roman"/>
          <w:kern w:val="2"/>
          <w:sz w:val="24"/>
          <w:szCs w:val="24"/>
          <w:lang w:val="en-US" w:eastAsia="zh-CN" w:bidi="ar-SA"/>
        </w:rPr>
      </w:pPr>
    </w:p>
    <w:p w14:paraId="14B93615">
      <w:pPr>
        <w:rPr>
          <w:rFonts w:ascii="Arial" w:hAnsi="Arial" w:eastAsia="黑体"/>
          <w:b/>
          <w:sz w:val="32"/>
        </w:rPr>
      </w:pPr>
      <w:r>
        <w:rPr>
          <w:rFonts w:hint="eastAsia" w:ascii="Arial" w:hAnsi="Arial" w:eastAsia="黑体"/>
          <w:b/>
          <w:sz w:val="32"/>
        </w:rPr>
        <w:t>三、商务要求</w:t>
      </w:r>
    </w:p>
    <w:p w14:paraId="302A11B6">
      <w:pPr>
        <w:widowControl w:val="0"/>
        <w:spacing w:after="120"/>
        <w:jc w:val="both"/>
        <w:rPr>
          <w:rFonts w:ascii="Calibri" w:hAnsi="Calibri" w:eastAsia="宋体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ascii="Calibri" w:hAnsi="Calibri" w:eastAsia="宋体" w:cs="Times New Roman"/>
          <w:kern w:val="2"/>
          <w:sz w:val="24"/>
          <w:szCs w:val="24"/>
          <w:lang w:val="en-US" w:eastAsia="zh-CN" w:bidi="ar-SA"/>
        </w:rPr>
        <w:t>1</w:t>
      </w:r>
      <w:r>
        <w:rPr>
          <w:rFonts w:ascii="Calibri" w:hAnsi="Calibri" w:eastAsia="宋体" w:cs="Times New Roman"/>
          <w:kern w:val="2"/>
          <w:sz w:val="24"/>
          <w:szCs w:val="24"/>
          <w:lang w:val="en-US" w:eastAsia="zh-CN" w:bidi="ar-SA"/>
        </w:rPr>
        <w:t>.</w:t>
      </w:r>
      <w:r>
        <w:rPr>
          <w:rFonts w:hint="eastAsia" w:ascii="Calibri" w:hAnsi="Calibri" w:eastAsia="宋体" w:cs="Times New Roman"/>
          <w:kern w:val="2"/>
          <w:sz w:val="24"/>
          <w:szCs w:val="24"/>
          <w:lang w:val="en-US" w:eastAsia="zh-CN" w:bidi="ar-SA"/>
        </w:rPr>
        <w:t>服务期：合同签订之日起1年。</w:t>
      </w:r>
    </w:p>
    <w:p w14:paraId="0B6CCC48">
      <w:pPr>
        <w:rPr>
          <w:rFonts w:hint="eastAsia" w:ascii="Calibri" w:hAnsi="Calibri"/>
          <w:sz w:val="24"/>
        </w:rPr>
      </w:pPr>
      <w:r>
        <w:rPr>
          <w:rFonts w:hint="eastAsia" w:ascii="Calibri" w:hAnsi="Calibri"/>
          <w:sz w:val="24"/>
        </w:rPr>
        <w:t>2</w:t>
      </w:r>
      <w:r>
        <w:rPr>
          <w:rFonts w:ascii="Calibri" w:hAnsi="Calibri"/>
          <w:sz w:val="24"/>
        </w:rPr>
        <w:t>.</w:t>
      </w:r>
      <w:r>
        <w:rPr>
          <w:rFonts w:hint="eastAsia" w:ascii="Calibri" w:hAnsi="Calibri"/>
          <w:sz w:val="24"/>
        </w:rPr>
        <w:t>付款：合同签订后，凭有效票据一次性付全款。</w:t>
      </w:r>
    </w:p>
    <w:p w14:paraId="1549F959">
      <w:pPr>
        <w:rPr>
          <w:rFonts w:ascii="仿宋" w:hAnsi="仿宋" w:eastAsia="仿宋"/>
          <w:b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1NGEyYWMxYzkzMzRjY2U2ODU1M2E5MTEwZDJiZjkifQ=="/>
  </w:docVars>
  <w:rsids>
    <w:rsidRoot w:val="00F616D1"/>
    <w:rsid w:val="00026D67"/>
    <w:rsid w:val="000655E2"/>
    <w:rsid w:val="00146B86"/>
    <w:rsid w:val="00177AE7"/>
    <w:rsid w:val="001A237F"/>
    <w:rsid w:val="0022173A"/>
    <w:rsid w:val="00223029"/>
    <w:rsid w:val="002E7574"/>
    <w:rsid w:val="002F2A6B"/>
    <w:rsid w:val="003569C0"/>
    <w:rsid w:val="00363F90"/>
    <w:rsid w:val="003B773C"/>
    <w:rsid w:val="003D3114"/>
    <w:rsid w:val="004953D5"/>
    <w:rsid w:val="004C6AE8"/>
    <w:rsid w:val="004F4036"/>
    <w:rsid w:val="00556483"/>
    <w:rsid w:val="005F3E8F"/>
    <w:rsid w:val="00637BC3"/>
    <w:rsid w:val="0067246F"/>
    <w:rsid w:val="00672795"/>
    <w:rsid w:val="00694C60"/>
    <w:rsid w:val="006A1FFB"/>
    <w:rsid w:val="006C55A3"/>
    <w:rsid w:val="006D7513"/>
    <w:rsid w:val="006E3421"/>
    <w:rsid w:val="00720258"/>
    <w:rsid w:val="00722799"/>
    <w:rsid w:val="0079570A"/>
    <w:rsid w:val="007A7946"/>
    <w:rsid w:val="008713E0"/>
    <w:rsid w:val="00A57511"/>
    <w:rsid w:val="00AE0068"/>
    <w:rsid w:val="00B212AF"/>
    <w:rsid w:val="00B3623F"/>
    <w:rsid w:val="00B662A7"/>
    <w:rsid w:val="00B6716D"/>
    <w:rsid w:val="00BB259F"/>
    <w:rsid w:val="00C02B2C"/>
    <w:rsid w:val="00C07329"/>
    <w:rsid w:val="00C806D0"/>
    <w:rsid w:val="00C86C0F"/>
    <w:rsid w:val="00C90963"/>
    <w:rsid w:val="00CE4C4C"/>
    <w:rsid w:val="00CF11E9"/>
    <w:rsid w:val="00DA3C84"/>
    <w:rsid w:val="00DB2D33"/>
    <w:rsid w:val="00DD4C68"/>
    <w:rsid w:val="00E03ED0"/>
    <w:rsid w:val="00EA343A"/>
    <w:rsid w:val="00EF655F"/>
    <w:rsid w:val="00F0667C"/>
    <w:rsid w:val="00F616D1"/>
    <w:rsid w:val="00F70D9E"/>
    <w:rsid w:val="00F91407"/>
    <w:rsid w:val="00FA2AD5"/>
    <w:rsid w:val="00FE27A4"/>
    <w:rsid w:val="02144743"/>
    <w:rsid w:val="07A71224"/>
    <w:rsid w:val="0CF65461"/>
    <w:rsid w:val="0E723185"/>
    <w:rsid w:val="1241197B"/>
    <w:rsid w:val="13441125"/>
    <w:rsid w:val="1AF92520"/>
    <w:rsid w:val="222E3339"/>
    <w:rsid w:val="22D719D0"/>
    <w:rsid w:val="30227176"/>
    <w:rsid w:val="32EC08C2"/>
    <w:rsid w:val="33D36E60"/>
    <w:rsid w:val="37B67A7A"/>
    <w:rsid w:val="38341496"/>
    <w:rsid w:val="39B12F28"/>
    <w:rsid w:val="3E436062"/>
    <w:rsid w:val="40AF58DD"/>
    <w:rsid w:val="4436283D"/>
    <w:rsid w:val="47725CCA"/>
    <w:rsid w:val="493D55BF"/>
    <w:rsid w:val="57BC13F0"/>
    <w:rsid w:val="58A12948"/>
    <w:rsid w:val="5A9E67B7"/>
    <w:rsid w:val="65426805"/>
    <w:rsid w:val="674E406D"/>
    <w:rsid w:val="735C5CB8"/>
    <w:rsid w:val="765672EE"/>
    <w:rsid w:val="79A74730"/>
    <w:rsid w:val="7C9B1DB3"/>
    <w:rsid w:val="7F73309E"/>
    <w:rsid w:val="7F77625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36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5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spacing w:after="120"/>
    </w:pPr>
  </w:style>
  <w:style w:type="paragraph" w:styleId="6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11">
    <w:name w:val="页眉 字符"/>
    <w:basedOn w:val="9"/>
    <w:link w:val="7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">
    <w:name w:val="页脚 字符"/>
    <w:basedOn w:val="9"/>
    <w:link w:val="6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ZMCC..COM</Company>
  <Pages>4</Pages>
  <Words>2127</Words>
  <Characters>2238</Characters>
  <Lines>50</Lines>
  <Paragraphs>14</Paragraphs>
  <TotalTime>13</TotalTime>
  <ScaleCrop>false</ScaleCrop>
  <LinksUpToDate>false</LinksUpToDate>
  <CharactersWithSpaces>2319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2019-11-07T09:51:00Z</dcterms:created>
  <dc:creator>张澄虞</dc:creator>
  <cp:lastModifiedBy>hp</cp:lastModifiedBy>
  <dcterms:modified xsi:type="dcterms:W3CDTF">2026-01-28T08:54:20Z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47BECC7188854288BA9F740AA88605EF_13</vt:lpwstr>
  </property>
</Properties>
</file>