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E088B" w14:textId="77777777" w:rsidR="00B1548D" w:rsidRDefault="00410E5A">
      <w:pPr>
        <w:jc w:val="center"/>
        <w:rPr>
          <w:rFonts w:cs="Times New Roman"/>
          <w:b/>
          <w:bCs/>
          <w:sz w:val="32"/>
          <w:szCs w:val="32"/>
        </w:rPr>
      </w:pPr>
      <w:r>
        <w:rPr>
          <w:rFonts w:cs="宋体" w:hint="eastAsia"/>
          <w:b/>
          <w:bCs/>
          <w:sz w:val="32"/>
          <w:szCs w:val="32"/>
        </w:rPr>
        <w:t>激素类项目外送检验技术要求</w:t>
      </w:r>
    </w:p>
    <w:p w14:paraId="2F8A681B" w14:textId="77777777" w:rsidR="00B1548D" w:rsidRDefault="00410E5A">
      <w:pPr>
        <w:rPr>
          <w:rFonts w:ascii="宋体" w:cs="Times New Roman"/>
          <w:b/>
          <w:bCs/>
          <w:sz w:val="24"/>
          <w:szCs w:val="24"/>
        </w:rPr>
      </w:pPr>
      <w:r>
        <w:rPr>
          <w:rFonts w:ascii="宋体" w:hAnsi="宋体" w:cs="宋体" w:hint="eastAsia"/>
          <w:b/>
          <w:bCs/>
          <w:sz w:val="24"/>
          <w:szCs w:val="24"/>
        </w:rPr>
        <w:t>一、总体要求</w:t>
      </w:r>
    </w:p>
    <w:p w14:paraId="559FF8C6"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w:t>
      </w:r>
      <w:r>
        <w:rPr>
          <w:rFonts w:ascii="宋体" w:hAnsi="宋体" w:cs="宋体" w:hint="eastAsia"/>
          <w:bCs/>
          <w:sz w:val="24"/>
        </w:rPr>
        <w:t>具有从事医学检验技术服务能力和资质；</w:t>
      </w:r>
    </w:p>
    <w:p w14:paraId="7517B06C"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、检验报告出具时间：可按院方要求调整发放检验报告时间；报告单可在网上查询；</w:t>
      </w:r>
    </w:p>
    <w:p w14:paraId="28D8200A"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、送检标本收取次数：每天一次，特殊情况临时增加一次；</w:t>
      </w:r>
    </w:p>
    <w:p w14:paraId="0651DC67"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、全年服务：全年全天候上门收取标本（农历除夕、大年初一二三、不可抗力情况除外）；</w:t>
      </w:r>
    </w:p>
    <w:p w14:paraId="0D811AD0"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、所有样本的运送及保存必须符合样本温度的管理要求，有专业的标本冷链物流配送，温度控制在全程</w:t>
      </w:r>
      <w:r>
        <w:rPr>
          <w:rFonts w:ascii="宋体" w:hAnsi="宋体" w:cs="宋体" w:hint="eastAsia"/>
          <w:sz w:val="24"/>
        </w:rPr>
        <w:t>2-8</w:t>
      </w:r>
      <w:r>
        <w:rPr>
          <w:rFonts w:ascii="宋体" w:hAnsi="宋体" w:cs="宋体" w:hint="eastAsia"/>
          <w:sz w:val="24"/>
        </w:rPr>
        <w:t>℃，数据记录保存≥</w:t>
      </w:r>
      <w:r>
        <w:rPr>
          <w:rFonts w:ascii="宋体" w:hAnsi="宋体" w:cs="宋体" w:hint="eastAsia"/>
          <w:sz w:val="24"/>
        </w:rPr>
        <w:t>2</w:t>
      </w:r>
      <w:r>
        <w:rPr>
          <w:rFonts w:ascii="宋体" w:hAnsi="宋体" w:cs="宋体" w:hint="eastAsia"/>
          <w:sz w:val="24"/>
        </w:rPr>
        <w:t>年，备查；</w:t>
      </w:r>
    </w:p>
    <w:p w14:paraId="2CEE444D"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、突发情况：院方自己开展项目仪器发生故障时，提供标本紧急检验服务，按照同类外送项目标本扣率收取费用，不另计费；</w:t>
      </w:r>
    </w:p>
    <w:p w14:paraId="4BBF144A"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、特殊标本（包括急诊标本、病理标本）：提供临时加急服务，需提供具体方案及报告出具时限等；</w:t>
      </w:r>
    </w:p>
    <w:p w14:paraId="7C7A3E4F"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、提供专门客户服务人员，日常电话及时应答，投诉</w:t>
      </w:r>
      <w:r>
        <w:rPr>
          <w:rFonts w:ascii="宋体" w:hAnsi="宋体" w:cs="宋体" w:hint="eastAsia"/>
          <w:sz w:val="24"/>
        </w:rPr>
        <w:t>2</w:t>
      </w:r>
      <w:r>
        <w:rPr>
          <w:rFonts w:ascii="宋体" w:hAnsi="宋体" w:cs="宋体" w:hint="eastAsia"/>
          <w:sz w:val="24"/>
        </w:rPr>
        <w:t>小时内回复调查进展；</w:t>
      </w:r>
    </w:p>
    <w:p w14:paraId="78B55E52"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9</w:t>
      </w:r>
      <w:r>
        <w:rPr>
          <w:rFonts w:ascii="宋体" w:hAnsi="宋体" w:cs="宋体" w:hint="eastAsia"/>
          <w:sz w:val="24"/>
        </w:rPr>
        <w:t>、外送检验项目结果需回传至医院</w:t>
      </w:r>
      <w:r>
        <w:rPr>
          <w:rFonts w:ascii="宋体" w:hAnsi="宋体" w:cs="宋体" w:hint="eastAsia"/>
          <w:sz w:val="24"/>
        </w:rPr>
        <w:t>LIS</w:t>
      </w:r>
      <w:r>
        <w:rPr>
          <w:rFonts w:ascii="宋体" w:hAnsi="宋体" w:cs="宋体" w:hint="eastAsia"/>
          <w:sz w:val="24"/>
        </w:rPr>
        <w:t>系统，投标人承担相关接口费用；</w:t>
      </w:r>
    </w:p>
    <w:p w14:paraId="60F07948"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10</w:t>
      </w:r>
      <w:r>
        <w:rPr>
          <w:rFonts w:ascii="宋体" w:hAnsi="宋体" w:cs="宋体" w:hint="eastAsia"/>
          <w:sz w:val="24"/>
        </w:rPr>
        <w:t>、切换医院</w:t>
      </w:r>
      <w:r>
        <w:rPr>
          <w:rFonts w:ascii="宋体" w:hAnsi="宋体" w:cs="宋体" w:hint="eastAsia"/>
          <w:sz w:val="24"/>
        </w:rPr>
        <w:t>LIS</w:t>
      </w:r>
      <w:r>
        <w:rPr>
          <w:rFonts w:ascii="宋体" w:hAnsi="宋体" w:cs="宋体" w:hint="eastAsia"/>
          <w:sz w:val="24"/>
        </w:rPr>
        <w:t>接口需及时完成</w:t>
      </w:r>
      <w:r>
        <w:rPr>
          <w:rFonts w:ascii="宋体" w:hAnsi="宋体" w:cs="宋体" w:hint="eastAsia"/>
          <w:sz w:val="24"/>
        </w:rPr>
        <w:t>，不得中断检验报告传输影响临床决策，且传输稳定、报告完整；</w:t>
      </w:r>
    </w:p>
    <w:p w14:paraId="0469A4FD"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11</w:t>
      </w:r>
      <w:r>
        <w:rPr>
          <w:rFonts w:ascii="宋体" w:hAnsi="宋体" w:cs="宋体" w:hint="eastAsia"/>
          <w:sz w:val="24"/>
        </w:rPr>
        <w:t>、按照检验质控要求，定期提供所有外送项目的室内质控、室间质控报告；</w:t>
      </w:r>
    </w:p>
    <w:p w14:paraId="63EB2B9D"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12</w:t>
      </w:r>
      <w:r>
        <w:rPr>
          <w:rFonts w:ascii="宋体" w:hAnsi="宋体" w:cs="宋体" w:hint="eastAsia"/>
          <w:sz w:val="24"/>
        </w:rPr>
        <w:t>、按照检验质控要求，定期提供检验仪器设备性能验证报告；</w:t>
      </w:r>
    </w:p>
    <w:p w14:paraId="4FF51E98" w14:textId="77777777" w:rsidR="00B1548D" w:rsidRDefault="00410E5A">
      <w:pPr>
        <w:spacing w:line="360" w:lineRule="auto"/>
        <w:ind w:firstLineChars="200" w:firstLine="480"/>
        <w:rPr>
          <w:rFonts w:ascii="宋体" w:hAnsi="宋体" w:cs="宋体"/>
          <w:sz w:val="24"/>
        </w:rPr>
      </w:pPr>
      <w:r>
        <w:rPr>
          <w:rFonts w:ascii="宋体" w:hAnsi="宋体" w:cs="宋体" w:hint="eastAsia"/>
          <w:sz w:val="24"/>
        </w:rPr>
        <w:t>13</w:t>
      </w:r>
      <w:r>
        <w:rPr>
          <w:rFonts w:ascii="宋体" w:hAnsi="宋体" w:cs="宋体" w:hint="eastAsia"/>
          <w:sz w:val="24"/>
        </w:rPr>
        <w:t>、根据院方需求，免费提供院方用于相关标本存放用品、耗材等，提供每次到货清单、随货联、合格证、医疗器械注册证等。</w:t>
      </w:r>
    </w:p>
    <w:p w14:paraId="09A39107" w14:textId="77777777" w:rsidR="00B1548D" w:rsidRDefault="00410E5A">
      <w:pPr>
        <w:pStyle w:val="a0"/>
        <w:spacing w:line="360" w:lineRule="auto"/>
        <w:ind w:firstLineChars="200" w:firstLine="480"/>
        <w:rPr>
          <w:rFonts w:ascii="宋体" w:hAnsi="宋体" w:cs="宋体"/>
          <w:sz w:val="24"/>
          <w:szCs w:val="24"/>
        </w:rPr>
      </w:pPr>
      <w:r>
        <w:rPr>
          <w:rFonts w:ascii="宋体" w:hAnsi="宋体" w:cs="宋体" w:hint="eastAsia"/>
          <w:sz w:val="24"/>
          <w:szCs w:val="24"/>
        </w:rPr>
        <w:t>14</w:t>
      </w:r>
      <w:r>
        <w:rPr>
          <w:rFonts w:ascii="宋体" w:hAnsi="宋体" w:cs="宋体" w:hint="eastAsia"/>
          <w:sz w:val="24"/>
          <w:szCs w:val="24"/>
        </w:rPr>
        <w:t>、剩余样本处置：应当按照国家及行业标准对标本进行保存以备复检；对过保存期的样本处理需遵守《中华人民共和国人类遗传资源管理条例》，按规定及时销毁。</w:t>
      </w:r>
    </w:p>
    <w:p w14:paraId="4F80F419" w14:textId="77777777" w:rsidR="00B1548D" w:rsidRDefault="00410E5A">
      <w:pPr>
        <w:rPr>
          <w:rFonts w:ascii="宋体" w:hAnsi="宋体" w:cs="宋体"/>
          <w:b/>
          <w:bCs/>
          <w:sz w:val="24"/>
          <w:szCs w:val="24"/>
        </w:rPr>
      </w:pPr>
      <w:r>
        <w:rPr>
          <w:rFonts w:ascii="宋体" w:hAnsi="宋体" w:cs="宋体" w:hint="eastAsia"/>
          <w:b/>
          <w:bCs/>
          <w:sz w:val="24"/>
          <w:szCs w:val="24"/>
        </w:rPr>
        <w:t>二、外送项目清单：</w:t>
      </w:r>
    </w:p>
    <w:tbl>
      <w:tblPr>
        <w:tblW w:w="4736" w:type="pct"/>
        <w:tblInd w:w="108" w:type="dxa"/>
        <w:tblLayout w:type="fixed"/>
        <w:tblLook w:val="04A0" w:firstRow="1" w:lastRow="0" w:firstColumn="1" w:lastColumn="0" w:noHBand="0" w:noVBand="1"/>
      </w:tblPr>
      <w:tblGrid>
        <w:gridCol w:w="795"/>
        <w:gridCol w:w="1510"/>
        <w:gridCol w:w="3808"/>
        <w:gridCol w:w="1521"/>
        <w:gridCol w:w="1292"/>
      </w:tblGrid>
      <w:tr w:rsidR="00B1548D" w14:paraId="23513F14" w14:textId="77777777">
        <w:trPr>
          <w:trHeight w:val="454"/>
          <w:tblHeader/>
        </w:trPr>
        <w:tc>
          <w:tcPr>
            <w:tcW w:w="445" w:type="pct"/>
            <w:tcBorders>
              <w:top w:val="single" w:sz="4" w:space="0" w:color="auto"/>
              <w:left w:val="single" w:sz="4" w:space="0" w:color="auto"/>
              <w:bottom w:val="single" w:sz="4" w:space="0" w:color="auto"/>
              <w:right w:val="single" w:sz="4" w:space="0" w:color="auto"/>
            </w:tcBorders>
            <w:noWrap/>
            <w:vAlign w:val="center"/>
          </w:tcPr>
          <w:p w14:paraId="2992D023" w14:textId="77777777" w:rsidR="00B1548D" w:rsidRDefault="00410E5A">
            <w:pPr>
              <w:spacing w:line="360" w:lineRule="auto"/>
              <w:jc w:val="left"/>
              <w:rPr>
                <w:rFonts w:ascii="宋体" w:hAnsi="宋体" w:cs="宋体"/>
                <w:bCs/>
                <w:sz w:val="24"/>
              </w:rPr>
            </w:pPr>
            <w:r>
              <w:rPr>
                <w:rFonts w:ascii="宋体" w:hAnsi="宋体" w:cs="宋体" w:hint="eastAsia"/>
                <w:bCs/>
                <w:sz w:val="24"/>
              </w:rPr>
              <w:t>序号</w:t>
            </w:r>
          </w:p>
        </w:tc>
        <w:tc>
          <w:tcPr>
            <w:tcW w:w="845" w:type="pct"/>
            <w:tcBorders>
              <w:top w:val="single" w:sz="4" w:space="0" w:color="auto"/>
              <w:left w:val="nil"/>
              <w:bottom w:val="single" w:sz="4" w:space="0" w:color="auto"/>
              <w:right w:val="single" w:sz="4" w:space="0" w:color="auto"/>
            </w:tcBorders>
            <w:noWrap/>
            <w:vAlign w:val="center"/>
          </w:tcPr>
          <w:p w14:paraId="004797A0" w14:textId="77777777" w:rsidR="00B1548D" w:rsidRDefault="00410E5A">
            <w:pPr>
              <w:spacing w:line="360" w:lineRule="auto"/>
              <w:jc w:val="left"/>
              <w:rPr>
                <w:rFonts w:ascii="宋体" w:hAnsi="宋体" w:cs="宋体"/>
                <w:bCs/>
                <w:sz w:val="24"/>
              </w:rPr>
            </w:pPr>
            <w:r>
              <w:rPr>
                <w:rFonts w:ascii="宋体" w:hAnsi="宋体" w:cs="宋体" w:hint="eastAsia"/>
                <w:bCs/>
                <w:sz w:val="24"/>
              </w:rPr>
              <w:t>项目名称</w:t>
            </w:r>
          </w:p>
        </w:tc>
        <w:tc>
          <w:tcPr>
            <w:tcW w:w="2132" w:type="pct"/>
            <w:tcBorders>
              <w:top w:val="single" w:sz="4" w:space="0" w:color="auto"/>
              <w:left w:val="nil"/>
              <w:bottom w:val="single" w:sz="4" w:space="0" w:color="auto"/>
              <w:right w:val="single" w:sz="4" w:space="0" w:color="auto"/>
            </w:tcBorders>
            <w:shd w:val="clear" w:color="auto" w:fill="auto"/>
            <w:noWrap/>
            <w:vAlign w:val="center"/>
          </w:tcPr>
          <w:p w14:paraId="55907E7C" w14:textId="77777777" w:rsidR="00B1548D" w:rsidRDefault="00410E5A">
            <w:pPr>
              <w:widowControl/>
              <w:jc w:val="left"/>
              <w:rPr>
                <w:rFonts w:ascii="宋体" w:hAnsi="宋体" w:cs="仿宋"/>
                <w:bCs/>
                <w:caps/>
                <w:kern w:val="0"/>
                <w:sz w:val="24"/>
                <w:szCs w:val="24"/>
              </w:rPr>
            </w:pPr>
            <w:r>
              <w:rPr>
                <w:rFonts w:ascii="宋体" w:hAnsi="宋体" w:cs="仿宋" w:hint="eastAsia"/>
                <w:bCs/>
                <w:caps/>
                <w:kern w:val="0"/>
                <w:sz w:val="24"/>
                <w:szCs w:val="24"/>
              </w:rPr>
              <w:t>检测内容明细</w:t>
            </w:r>
          </w:p>
        </w:tc>
        <w:tc>
          <w:tcPr>
            <w:tcW w:w="851" w:type="pct"/>
            <w:tcBorders>
              <w:top w:val="single" w:sz="4" w:space="0" w:color="auto"/>
              <w:left w:val="nil"/>
              <w:bottom w:val="single" w:sz="4" w:space="0" w:color="auto"/>
              <w:right w:val="single" w:sz="4" w:space="0" w:color="auto"/>
            </w:tcBorders>
            <w:vAlign w:val="center"/>
          </w:tcPr>
          <w:p w14:paraId="53B32A3E" w14:textId="77777777" w:rsidR="00B1548D" w:rsidRDefault="00410E5A">
            <w:pPr>
              <w:spacing w:line="360" w:lineRule="auto"/>
              <w:jc w:val="left"/>
              <w:rPr>
                <w:rFonts w:ascii="宋体" w:hAnsi="宋体" w:cs="宋体"/>
                <w:bCs/>
                <w:sz w:val="24"/>
                <w:szCs w:val="24"/>
              </w:rPr>
            </w:pPr>
            <w:r>
              <w:rPr>
                <w:rFonts w:ascii="宋体" w:hAnsi="宋体" w:cs="宋体" w:hint="eastAsia"/>
                <w:color w:val="000000"/>
                <w:kern w:val="0"/>
                <w:sz w:val="24"/>
                <w:szCs w:val="24"/>
              </w:rPr>
              <w:t>收费</w:t>
            </w:r>
          </w:p>
        </w:tc>
        <w:tc>
          <w:tcPr>
            <w:tcW w:w="724" w:type="pct"/>
            <w:tcBorders>
              <w:top w:val="single" w:sz="4" w:space="0" w:color="auto"/>
              <w:left w:val="nil"/>
              <w:bottom w:val="single" w:sz="4" w:space="0" w:color="auto"/>
              <w:right w:val="single" w:sz="4" w:space="0" w:color="auto"/>
            </w:tcBorders>
            <w:vAlign w:val="center"/>
          </w:tcPr>
          <w:p w14:paraId="4D960383" w14:textId="77777777" w:rsidR="00B1548D" w:rsidRDefault="00410E5A">
            <w:pPr>
              <w:spacing w:line="360" w:lineRule="auto"/>
              <w:jc w:val="left"/>
              <w:rPr>
                <w:rFonts w:ascii="宋体" w:hAnsi="宋体" w:cs="宋体"/>
                <w:bCs/>
                <w:sz w:val="24"/>
                <w:szCs w:val="24"/>
              </w:rPr>
            </w:pPr>
            <w:r>
              <w:rPr>
                <w:rFonts w:ascii="宋体" w:hAnsi="宋体" w:cs="宋体" w:hint="eastAsia"/>
                <w:color w:val="000000"/>
                <w:kern w:val="0"/>
                <w:sz w:val="24"/>
                <w:szCs w:val="24"/>
              </w:rPr>
              <w:t>报告时间</w:t>
            </w:r>
          </w:p>
        </w:tc>
      </w:tr>
      <w:tr w:rsidR="00B1548D" w14:paraId="76794201" w14:textId="77777777">
        <w:trPr>
          <w:trHeight w:val="454"/>
        </w:trPr>
        <w:tc>
          <w:tcPr>
            <w:tcW w:w="445" w:type="pct"/>
            <w:vMerge w:val="restart"/>
            <w:tcBorders>
              <w:top w:val="nil"/>
              <w:left w:val="single" w:sz="4" w:space="0" w:color="auto"/>
              <w:bottom w:val="single" w:sz="4" w:space="0" w:color="auto"/>
              <w:right w:val="single" w:sz="4" w:space="0" w:color="auto"/>
            </w:tcBorders>
            <w:noWrap/>
            <w:vAlign w:val="center"/>
          </w:tcPr>
          <w:p w14:paraId="7EEDB6EE" w14:textId="77777777" w:rsidR="00B1548D" w:rsidRDefault="00410E5A">
            <w:pPr>
              <w:spacing w:line="360" w:lineRule="auto"/>
              <w:jc w:val="center"/>
              <w:rPr>
                <w:rFonts w:ascii="宋体" w:hAnsi="宋体" w:cs="宋体"/>
                <w:bCs/>
                <w:sz w:val="24"/>
              </w:rPr>
            </w:pPr>
            <w:r>
              <w:rPr>
                <w:rFonts w:ascii="宋体" w:hAnsi="宋体" w:cs="宋体" w:hint="eastAsia"/>
                <w:bCs/>
                <w:sz w:val="24"/>
              </w:rPr>
              <w:t>1</w:t>
            </w:r>
          </w:p>
        </w:tc>
        <w:tc>
          <w:tcPr>
            <w:tcW w:w="845" w:type="pct"/>
            <w:vMerge w:val="restart"/>
            <w:tcBorders>
              <w:top w:val="nil"/>
              <w:left w:val="single" w:sz="4" w:space="0" w:color="auto"/>
              <w:bottom w:val="single" w:sz="4" w:space="0" w:color="auto"/>
              <w:right w:val="single" w:sz="4" w:space="0" w:color="auto"/>
            </w:tcBorders>
            <w:noWrap/>
            <w:vAlign w:val="center"/>
          </w:tcPr>
          <w:p w14:paraId="008FD268" w14:textId="77777777" w:rsidR="00B1548D" w:rsidRDefault="00410E5A">
            <w:pPr>
              <w:spacing w:line="360" w:lineRule="auto"/>
              <w:rPr>
                <w:rFonts w:ascii="宋体" w:hAnsi="宋体" w:cs="宋体"/>
                <w:bCs/>
                <w:sz w:val="24"/>
              </w:rPr>
            </w:pPr>
            <w:r>
              <w:rPr>
                <w:rFonts w:ascii="宋体" w:hAnsi="宋体" w:cs="宋体" w:hint="eastAsia"/>
                <w:bCs/>
                <w:sz w:val="24"/>
              </w:rPr>
              <w:t>激素类项目</w:t>
            </w:r>
          </w:p>
        </w:tc>
        <w:tc>
          <w:tcPr>
            <w:tcW w:w="2132" w:type="pct"/>
            <w:tcBorders>
              <w:top w:val="nil"/>
              <w:left w:val="nil"/>
              <w:bottom w:val="single" w:sz="4" w:space="0" w:color="auto"/>
              <w:right w:val="single" w:sz="4" w:space="0" w:color="auto"/>
            </w:tcBorders>
            <w:noWrap/>
            <w:vAlign w:val="center"/>
          </w:tcPr>
          <w:p w14:paraId="2887A2B2" w14:textId="77777777" w:rsidR="00B1548D" w:rsidRDefault="00410E5A">
            <w:pPr>
              <w:spacing w:line="360" w:lineRule="auto"/>
              <w:rPr>
                <w:rFonts w:ascii="宋体" w:hAnsi="宋体" w:cs="宋体"/>
                <w:bCs/>
                <w:sz w:val="24"/>
              </w:rPr>
            </w:pPr>
            <w:r>
              <w:rPr>
                <w:rFonts w:ascii="宋体" w:hAnsi="宋体" w:cs="宋体" w:hint="eastAsia"/>
                <w:bCs/>
                <w:sz w:val="24"/>
              </w:rPr>
              <w:t>24</w:t>
            </w:r>
            <w:r>
              <w:rPr>
                <w:rFonts w:ascii="宋体" w:hAnsi="宋体" w:cs="宋体" w:hint="eastAsia"/>
                <w:bCs/>
                <w:sz w:val="24"/>
              </w:rPr>
              <w:t>小时尿游离皮质醇</w:t>
            </w:r>
          </w:p>
        </w:tc>
        <w:tc>
          <w:tcPr>
            <w:tcW w:w="851" w:type="pct"/>
            <w:vMerge w:val="restart"/>
            <w:tcBorders>
              <w:top w:val="nil"/>
              <w:left w:val="nil"/>
              <w:right w:val="single" w:sz="4" w:space="0" w:color="auto"/>
            </w:tcBorders>
            <w:vAlign w:val="center"/>
          </w:tcPr>
          <w:p w14:paraId="0ED87336" w14:textId="77777777" w:rsidR="00B1548D" w:rsidRDefault="00410E5A">
            <w:pPr>
              <w:spacing w:line="360" w:lineRule="auto"/>
              <w:rPr>
                <w:rFonts w:ascii="宋体" w:hAnsi="宋体" w:cs="宋体"/>
                <w:bCs/>
                <w:sz w:val="24"/>
                <w:szCs w:val="24"/>
              </w:rPr>
            </w:pPr>
            <w:r>
              <w:rPr>
                <w:rFonts w:ascii="宋体" w:hAnsi="宋体" w:cs="宋体" w:hint="eastAsia"/>
                <w:color w:val="000000"/>
                <w:kern w:val="0"/>
                <w:sz w:val="24"/>
                <w:szCs w:val="24"/>
              </w:rPr>
              <w:t>按照浙江省物价收费标准</w:t>
            </w:r>
          </w:p>
        </w:tc>
        <w:tc>
          <w:tcPr>
            <w:tcW w:w="724" w:type="pct"/>
            <w:vMerge w:val="restart"/>
            <w:tcBorders>
              <w:top w:val="nil"/>
              <w:left w:val="nil"/>
              <w:right w:val="single" w:sz="4" w:space="0" w:color="auto"/>
            </w:tcBorders>
            <w:vAlign w:val="center"/>
          </w:tcPr>
          <w:p w14:paraId="2E230F0B" w14:textId="77777777" w:rsidR="00B1548D" w:rsidRDefault="00410E5A">
            <w:pPr>
              <w:spacing w:line="360" w:lineRule="auto"/>
              <w:jc w:val="center"/>
              <w:rPr>
                <w:rFonts w:ascii="宋体" w:hAnsi="宋体" w:cs="宋体"/>
                <w:bCs/>
                <w:sz w:val="24"/>
                <w:szCs w:val="24"/>
              </w:rPr>
            </w:pPr>
            <w:r>
              <w:rPr>
                <w:rFonts w:ascii="宋体" w:hAnsi="宋体" w:cs="宋体" w:hint="eastAsia"/>
                <w:color w:val="000000"/>
                <w:kern w:val="0"/>
                <w:sz w:val="24"/>
                <w:szCs w:val="24"/>
              </w:rPr>
              <w:t>1-2</w:t>
            </w:r>
            <w:r>
              <w:rPr>
                <w:rFonts w:ascii="宋体" w:hAnsi="宋体" w:cs="宋体" w:hint="eastAsia"/>
                <w:color w:val="000000"/>
                <w:kern w:val="0"/>
                <w:sz w:val="24"/>
                <w:szCs w:val="24"/>
              </w:rPr>
              <w:t>个工作日</w:t>
            </w:r>
          </w:p>
        </w:tc>
      </w:tr>
      <w:tr w:rsidR="00B1548D" w14:paraId="6DD54DCB"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24E626AD"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2C6671EC"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712D319D" w14:textId="37F76C87" w:rsidR="00B1548D" w:rsidRDefault="00410E5A">
            <w:pPr>
              <w:spacing w:line="360" w:lineRule="auto"/>
              <w:rPr>
                <w:rFonts w:ascii="宋体" w:hAnsi="宋体" w:cs="宋体"/>
                <w:bCs/>
                <w:sz w:val="24"/>
              </w:rPr>
            </w:pPr>
            <w:r>
              <w:rPr>
                <w:rFonts w:ascii="宋体" w:hAnsi="宋体" w:cs="宋体" w:hint="eastAsia"/>
                <w:kern w:val="0"/>
              </w:rPr>
              <w:t>△</w:t>
            </w:r>
            <w:r>
              <w:rPr>
                <w:rFonts w:ascii="宋体" w:hAnsi="宋体" w:cs="宋体" w:hint="eastAsia"/>
                <w:bCs/>
                <w:sz w:val="24"/>
              </w:rPr>
              <w:t>双氢睾酮，提供</w:t>
            </w:r>
            <w:r>
              <w:rPr>
                <w:rFonts w:ascii="宋体" w:hAnsi="宋体" w:cs="宋体" w:hint="eastAsia"/>
                <w:bCs/>
                <w:sz w:val="24"/>
              </w:rPr>
              <w:t>报告单复印件</w:t>
            </w:r>
          </w:p>
        </w:tc>
        <w:tc>
          <w:tcPr>
            <w:tcW w:w="851" w:type="pct"/>
            <w:vMerge/>
            <w:tcBorders>
              <w:left w:val="nil"/>
              <w:right w:val="single" w:sz="4" w:space="0" w:color="auto"/>
            </w:tcBorders>
          </w:tcPr>
          <w:p w14:paraId="4A31CD89" w14:textId="77777777" w:rsidR="00B1548D" w:rsidRDefault="00B1548D">
            <w:pPr>
              <w:spacing w:line="360" w:lineRule="auto"/>
              <w:rPr>
                <w:rFonts w:ascii="宋体" w:hAnsi="宋体" w:cs="宋体"/>
                <w:bCs/>
                <w:sz w:val="24"/>
              </w:rPr>
            </w:pPr>
          </w:p>
        </w:tc>
        <w:tc>
          <w:tcPr>
            <w:tcW w:w="724" w:type="pct"/>
            <w:vMerge/>
            <w:tcBorders>
              <w:left w:val="nil"/>
              <w:right w:val="single" w:sz="4" w:space="0" w:color="auto"/>
            </w:tcBorders>
          </w:tcPr>
          <w:p w14:paraId="5FA0530C" w14:textId="77777777" w:rsidR="00B1548D" w:rsidRDefault="00B1548D">
            <w:pPr>
              <w:spacing w:line="360" w:lineRule="auto"/>
              <w:rPr>
                <w:rFonts w:ascii="宋体" w:hAnsi="宋体" w:cs="宋体"/>
                <w:bCs/>
                <w:sz w:val="24"/>
              </w:rPr>
            </w:pPr>
          </w:p>
        </w:tc>
      </w:tr>
      <w:tr w:rsidR="00B1548D" w14:paraId="360CFFDC"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2B164508"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1063071F"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4214E11D" w14:textId="2A0B3CBA" w:rsidR="00B1548D" w:rsidRDefault="00410E5A">
            <w:pPr>
              <w:spacing w:line="360" w:lineRule="auto"/>
              <w:rPr>
                <w:rFonts w:ascii="宋体" w:hAnsi="宋体" w:cs="宋体"/>
                <w:bCs/>
                <w:sz w:val="24"/>
              </w:rPr>
            </w:pPr>
            <w:r>
              <w:rPr>
                <w:rFonts w:ascii="宋体" w:hAnsi="宋体" w:cs="宋体" w:hint="eastAsia"/>
                <w:kern w:val="0"/>
              </w:rPr>
              <w:t>△</w:t>
            </w:r>
            <w:r>
              <w:rPr>
                <w:rFonts w:ascii="宋体" w:hAnsi="宋体" w:cs="宋体" w:hint="eastAsia"/>
                <w:bCs/>
                <w:sz w:val="24"/>
              </w:rPr>
              <w:t>抑制素</w:t>
            </w:r>
            <w:r>
              <w:rPr>
                <w:rFonts w:ascii="宋体" w:hAnsi="宋体" w:cs="宋体" w:hint="eastAsia"/>
                <w:bCs/>
                <w:sz w:val="24"/>
              </w:rPr>
              <w:t>B</w:t>
            </w:r>
            <w:r>
              <w:rPr>
                <w:rFonts w:ascii="宋体" w:hAnsi="宋体" w:cs="宋体" w:hint="eastAsia"/>
                <w:bCs/>
                <w:sz w:val="24"/>
              </w:rPr>
              <w:t>，提供</w:t>
            </w:r>
            <w:r>
              <w:rPr>
                <w:rFonts w:ascii="宋体" w:hAnsi="宋体" w:cs="宋体" w:hint="eastAsia"/>
                <w:bCs/>
                <w:sz w:val="24"/>
              </w:rPr>
              <w:t>报告单复印件</w:t>
            </w:r>
          </w:p>
        </w:tc>
        <w:tc>
          <w:tcPr>
            <w:tcW w:w="851" w:type="pct"/>
            <w:vMerge/>
            <w:tcBorders>
              <w:left w:val="nil"/>
              <w:right w:val="single" w:sz="4" w:space="0" w:color="auto"/>
            </w:tcBorders>
          </w:tcPr>
          <w:p w14:paraId="64CF70D0" w14:textId="77777777" w:rsidR="00B1548D" w:rsidRDefault="00B1548D">
            <w:pPr>
              <w:spacing w:line="360" w:lineRule="auto"/>
              <w:rPr>
                <w:rFonts w:ascii="宋体" w:hAnsi="宋体" w:cs="宋体"/>
                <w:bCs/>
                <w:sz w:val="24"/>
              </w:rPr>
            </w:pPr>
          </w:p>
        </w:tc>
        <w:tc>
          <w:tcPr>
            <w:tcW w:w="724" w:type="pct"/>
            <w:vMerge/>
            <w:tcBorders>
              <w:left w:val="nil"/>
              <w:right w:val="single" w:sz="4" w:space="0" w:color="auto"/>
            </w:tcBorders>
          </w:tcPr>
          <w:p w14:paraId="7C9FFEC5" w14:textId="77777777" w:rsidR="00B1548D" w:rsidRDefault="00B1548D">
            <w:pPr>
              <w:spacing w:line="360" w:lineRule="auto"/>
              <w:rPr>
                <w:rFonts w:ascii="宋体" w:hAnsi="宋体" w:cs="宋体"/>
                <w:bCs/>
                <w:sz w:val="24"/>
              </w:rPr>
            </w:pPr>
          </w:p>
        </w:tc>
      </w:tr>
      <w:tr w:rsidR="00B1548D" w14:paraId="436C7141"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2BC06B19"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0FD95F33"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2125D516" w14:textId="77777777" w:rsidR="00B1548D" w:rsidRDefault="00410E5A">
            <w:pPr>
              <w:spacing w:line="360" w:lineRule="auto"/>
              <w:rPr>
                <w:rFonts w:ascii="宋体" w:hAnsi="宋体" w:cs="宋体"/>
                <w:bCs/>
                <w:sz w:val="24"/>
              </w:rPr>
            </w:pPr>
            <w:r>
              <w:rPr>
                <w:rFonts w:ascii="宋体" w:hAnsi="宋体" w:cs="宋体" w:hint="eastAsia"/>
                <w:bCs/>
                <w:sz w:val="24"/>
              </w:rPr>
              <w:t>促甲状腺激素受体抗体</w:t>
            </w:r>
          </w:p>
        </w:tc>
        <w:tc>
          <w:tcPr>
            <w:tcW w:w="851" w:type="pct"/>
            <w:vMerge/>
            <w:tcBorders>
              <w:left w:val="nil"/>
              <w:right w:val="single" w:sz="4" w:space="0" w:color="auto"/>
            </w:tcBorders>
          </w:tcPr>
          <w:p w14:paraId="63D38F22" w14:textId="77777777" w:rsidR="00B1548D" w:rsidRDefault="00B1548D">
            <w:pPr>
              <w:spacing w:line="360" w:lineRule="auto"/>
              <w:rPr>
                <w:rFonts w:ascii="宋体" w:hAnsi="宋体" w:cs="宋体"/>
                <w:bCs/>
                <w:sz w:val="24"/>
              </w:rPr>
            </w:pPr>
          </w:p>
        </w:tc>
        <w:tc>
          <w:tcPr>
            <w:tcW w:w="724" w:type="pct"/>
            <w:vMerge/>
            <w:tcBorders>
              <w:left w:val="nil"/>
              <w:right w:val="single" w:sz="4" w:space="0" w:color="auto"/>
            </w:tcBorders>
          </w:tcPr>
          <w:p w14:paraId="457BDF59" w14:textId="77777777" w:rsidR="00B1548D" w:rsidRDefault="00B1548D">
            <w:pPr>
              <w:spacing w:line="360" w:lineRule="auto"/>
              <w:rPr>
                <w:rFonts w:ascii="宋体" w:hAnsi="宋体" w:cs="宋体"/>
                <w:bCs/>
                <w:sz w:val="24"/>
              </w:rPr>
            </w:pPr>
          </w:p>
        </w:tc>
      </w:tr>
      <w:tr w:rsidR="00B1548D" w14:paraId="1E5BCB53"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3241904C"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18498A9B"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58570B5D" w14:textId="0C258291" w:rsidR="00B1548D" w:rsidRDefault="00410E5A">
            <w:pPr>
              <w:spacing w:line="360" w:lineRule="auto"/>
              <w:rPr>
                <w:rFonts w:ascii="宋体" w:hAnsi="宋体" w:cs="宋体"/>
                <w:bCs/>
                <w:sz w:val="24"/>
              </w:rPr>
            </w:pPr>
            <w:r>
              <w:rPr>
                <w:rFonts w:ascii="宋体" w:hAnsi="宋体" w:cs="宋体" w:hint="eastAsia"/>
                <w:kern w:val="0"/>
              </w:rPr>
              <w:t>△</w:t>
            </w:r>
            <w:r>
              <w:rPr>
                <w:rFonts w:ascii="宋体" w:hAnsi="宋体" w:cs="宋体" w:hint="eastAsia"/>
                <w:bCs/>
                <w:sz w:val="24"/>
              </w:rPr>
              <w:t>抗缪勒氏管激素（</w:t>
            </w:r>
            <w:r>
              <w:rPr>
                <w:rFonts w:ascii="宋体" w:hAnsi="宋体" w:cs="宋体" w:hint="eastAsia"/>
                <w:bCs/>
                <w:sz w:val="24"/>
              </w:rPr>
              <w:t>AMH</w:t>
            </w:r>
            <w:r>
              <w:rPr>
                <w:rFonts w:ascii="宋体" w:hAnsi="宋体" w:cs="宋体" w:hint="eastAsia"/>
                <w:bCs/>
                <w:sz w:val="24"/>
              </w:rPr>
              <w:t>），提供</w:t>
            </w:r>
            <w:bookmarkStart w:id="0" w:name="_GoBack"/>
            <w:bookmarkEnd w:id="0"/>
            <w:r>
              <w:rPr>
                <w:rFonts w:ascii="宋体" w:hAnsi="宋体" w:cs="宋体" w:hint="eastAsia"/>
                <w:bCs/>
                <w:sz w:val="24"/>
              </w:rPr>
              <w:t>报告单复印件</w:t>
            </w:r>
          </w:p>
        </w:tc>
        <w:tc>
          <w:tcPr>
            <w:tcW w:w="851" w:type="pct"/>
            <w:vMerge/>
            <w:tcBorders>
              <w:left w:val="nil"/>
              <w:right w:val="single" w:sz="4" w:space="0" w:color="auto"/>
            </w:tcBorders>
          </w:tcPr>
          <w:p w14:paraId="6104AE80" w14:textId="77777777" w:rsidR="00B1548D" w:rsidRDefault="00B1548D">
            <w:pPr>
              <w:spacing w:line="360" w:lineRule="auto"/>
              <w:rPr>
                <w:rFonts w:ascii="宋体" w:hAnsi="宋体" w:cs="宋体"/>
                <w:bCs/>
                <w:sz w:val="24"/>
              </w:rPr>
            </w:pPr>
          </w:p>
        </w:tc>
        <w:tc>
          <w:tcPr>
            <w:tcW w:w="724" w:type="pct"/>
            <w:vMerge/>
            <w:tcBorders>
              <w:left w:val="nil"/>
              <w:right w:val="single" w:sz="4" w:space="0" w:color="auto"/>
            </w:tcBorders>
          </w:tcPr>
          <w:p w14:paraId="39769257" w14:textId="77777777" w:rsidR="00B1548D" w:rsidRDefault="00B1548D">
            <w:pPr>
              <w:spacing w:line="360" w:lineRule="auto"/>
              <w:rPr>
                <w:rFonts w:ascii="宋体" w:hAnsi="宋体" w:cs="宋体"/>
                <w:bCs/>
                <w:sz w:val="24"/>
              </w:rPr>
            </w:pPr>
          </w:p>
        </w:tc>
      </w:tr>
      <w:tr w:rsidR="00B1548D" w14:paraId="2999C29C"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4293EF24"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404A1690"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75506E06" w14:textId="77777777" w:rsidR="00B1548D" w:rsidRDefault="00410E5A">
            <w:pPr>
              <w:spacing w:line="360" w:lineRule="auto"/>
              <w:rPr>
                <w:rFonts w:ascii="宋体" w:hAnsi="宋体" w:cs="宋体"/>
                <w:bCs/>
                <w:sz w:val="24"/>
              </w:rPr>
            </w:pPr>
            <w:r>
              <w:rPr>
                <w:rFonts w:ascii="宋体" w:hAnsi="宋体" w:cs="宋体" w:hint="eastAsia"/>
                <w:bCs/>
                <w:sz w:val="24"/>
              </w:rPr>
              <w:t>甲状腺结合球蛋白</w:t>
            </w:r>
          </w:p>
        </w:tc>
        <w:tc>
          <w:tcPr>
            <w:tcW w:w="851" w:type="pct"/>
            <w:vMerge/>
            <w:tcBorders>
              <w:left w:val="nil"/>
              <w:right w:val="single" w:sz="4" w:space="0" w:color="auto"/>
            </w:tcBorders>
          </w:tcPr>
          <w:p w14:paraId="2CBB8280" w14:textId="77777777" w:rsidR="00B1548D" w:rsidRDefault="00B1548D">
            <w:pPr>
              <w:spacing w:line="360" w:lineRule="auto"/>
              <w:rPr>
                <w:rFonts w:ascii="宋体" w:hAnsi="宋体" w:cs="宋体"/>
                <w:bCs/>
                <w:sz w:val="24"/>
              </w:rPr>
            </w:pPr>
          </w:p>
        </w:tc>
        <w:tc>
          <w:tcPr>
            <w:tcW w:w="724" w:type="pct"/>
            <w:vMerge/>
            <w:tcBorders>
              <w:left w:val="nil"/>
              <w:right w:val="single" w:sz="4" w:space="0" w:color="auto"/>
            </w:tcBorders>
          </w:tcPr>
          <w:p w14:paraId="5D9088D2" w14:textId="77777777" w:rsidR="00B1548D" w:rsidRDefault="00B1548D">
            <w:pPr>
              <w:spacing w:line="360" w:lineRule="auto"/>
              <w:rPr>
                <w:rFonts w:ascii="宋体" w:hAnsi="宋体" w:cs="宋体"/>
                <w:bCs/>
                <w:sz w:val="24"/>
              </w:rPr>
            </w:pPr>
          </w:p>
        </w:tc>
      </w:tr>
      <w:tr w:rsidR="00B1548D" w14:paraId="070791FA" w14:textId="77777777">
        <w:trPr>
          <w:trHeight w:val="454"/>
        </w:trPr>
        <w:tc>
          <w:tcPr>
            <w:tcW w:w="445" w:type="pct"/>
            <w:vMerge/>
            <w:tcBorders>
              <w:top w:val="nil"/>
              <w:left w:val="single" w:sz="4" w:space="0" w:color="auto"/>
              <w:bottom w:val="single" w:sz="4" w:space="0" w:color="auto"/>
              <w:right w:val="single" w:sz="4" w:space="0" w:color="auto"/>
            </w:tcBorders>
            <w:vAlign w:val="center"/>
          </w:tcPr>
          <w:p w14:paraId="0ACB99D7" w14:textId="77777777" w:rsidR="00B1548D" w:rsidRDefault="00B1548D">
            <w:pPr>
              <w:spacing w:line="360" w:lineRule="auto"/>
              <w:rPr>
                <w:rFonts w:ascii="宋体" w:hAnsi="宋体" w:cs="宋体"/>
                <w:bCs/>
                <w:sz w:val="24"/>
              </w:rPr>
            </w:pPr>
          </w:p>
        </w:tc>
        <w:tc>
          <w:tcPr>
            <w:tcW w:w="845" w:type="pct"/>
            <w:vMerge/>
            <w:tcBorders>
              <w:top w:val="nil"/>
              <w:left w:val="single" w:sz="4" w:space="0" w:color="auto"/>
              <w:bottom w:val="single" w:sz="4" w:space="0" w:color="auto"/>
              <w:right w:val="single" w:sz="4" w:space="0" w:color="auto"/>
            </w:tcBorders>
            <w:vAlign w:val="center"/>
          </w:tcPr>
          <w:p w14:paraId="3FD9854D" w14:textId="77777777" w:rsidR="00B1548D" w:rsidRDefault="00B1548D">
            <w:pPr>
              <w:spacing w:line="360" w:lineRule="auto"/>
              <w:rPr>
                <w:rFonts w:ascii="宋体" w:hAnsi="宋体" w:cs="宋体"/>
                <w:bCs/>
                <w:sz w:val="24"/>
              </w:rPr>
            </w:pPr>
          </w:p>
        </w:tc>
        <w:tc>
          <w:tcPr>
            <w:tcW w:w="2132" w:type="pct"/>
            <w:tcBorders>
              <w:top w:val="nil"/>
              <w:left w:val="nil"/>
              <w:bottom w:val="single" w:sz="4" w:space="0" w:color="auto"/>
              <w:right w:val="single" w:sz="4" w:space="0" w:color="auto"/>
            </w:tcBorders>
            <w:noWrap/>
            <w:vAlign w:val="center"/>
          </w:tcPr>
          <w:p w14:paraId="16DBBDA8" w14:textId="77777777" w:rsidR="00B1548D" w:rsidRDefault="00410E5A">
            <w:pPr>
              <w:spacing w:line="360" w:lineRule="auto"/>
              <w:rPr>
                <w:rFonts w:ascii="宋体" w:hAnsi="宋体" w:cs="宋体"/>
                <w:bCs/>
                <w:sz w:val="24"/>
              </w:rPr>
            </w:pPr>
            <w:r>
              <w:rPr>
                <w:rFonts w:ascii="宋体" w:hAnsi="宋体" w:cs="宋体" w:hint="eastAsia"/>
                <w:bCs/>
                <w:sz w:val="24"/>
              </w:rPr>
              <w:t>雄烯二酮</w:t>
            </w:r>
          </w:p>
        </w:tc>
        <w:tc>
          <w:tcPr>
            <w:tcW w:w="851" w:type="pct"/>
            <w:vMerge/>
            <w:tcBorders>
              <w:left w:val="nil"/>
              <w:bottom w:val="single" w:sz="4" w:space="0" w:color="auto"/>
              <w:right w:val="single" w:sz="4" w:space="0" w:color="auto"/>
            </w:tcBorders>
          </w:tcPr>
          <w:p w14:paraId="3FCCFB8F" w14:textId="77777777" w:rsidR="00B1548D" w:rsidRDefault="00B1548D">
            <w:pPr>
              <w:spacing w:line="360" w:lineRule="auto"/>
              <w:rPr>
                <w:rFonts w:ascii="宋体" w:hAnsi="宋体" w:cs="宋体"/>
                <w:bCs/>
                <w:sz w:val="24"/>
              </w:rPr>
            </w:pPr>
          </w:p>
        </w:tc>
        <w:tc>
          <w:tcPr>
            <w:tcW w:w="724" w:type="pct"/>
            <w:vMerge/>
            <w:tcBorders>
              <w:left w:val="nil"/>
              <w:bottom w:val="single" w:sz="4" w:space="0" w:color="auto"/>
              <w:right w:val="single" w:sz="4" w:space="0" w:color="auto"/>
            </w:tcBorders>
          </w:tcPr>
          <w:p w14:paraId="35FA3EF5" w14:textId="77777777" w:rsidR="00B1548D" w:rsidRDefault="00B1548D">
            <w:pPr>
              <w:spacing w:line="360" w:lineRule="auto"/>
              <w:rPr>
                <w:rFonts w:ascii="宋体" w:hAnsi="宋体" w:cs="宋体"/>
                <w:bCs/>
                <w:sz w:val="24"/>
              </w:rPr>
            </w:pPr>
          </w:p>
        </w:tc>
      </w:tr>
    </w:tbl>
    <w:p w14:paraId="203F41DE" w14:textId="77777777" w:rsidR="00B1548D" w:rsidRDefault="00B1548D">
      <w:pPr>
        <w:rPr>
          <w:rFonts w:ascii="宋体" w:hAnsi="宋体" w:cs="宋体"/>
          <w:b/>
          <w:bCs/>
          <w:sz w:val="24"/>
          <w:szCs w:val="24"/>
        </w:rPr>
      </w:pPr>
    </w:p>
    <w:p w14:paraId="0577E054" w14:textId="77777777" w:rsidR="00B1548D" w:rsidRDefault="00410E5A">
      <w:pPr>
        <w:rPr>
          <w:rFonts w:ascii="宋体" w:hAnsi="宋体" w:cs="宋体"/>
          <w:b/>
          <w:bCs/>
          <w:sz w:val="24"/>
          <w:szCs w:val="24"/>
        </w:rPr>
      </w:pPr>
      <w:r>
        <w:rPr>
          <w:rFonts w:ascii="宋体" w:hAnsi="宋体" w:cs="宋体" w:hint="eastAsia"/>
          <w:b/>
          <w:bCs/>
          <w:sz w:val="24"/>
          <w:szCs w:val="24"/>
        </w:rPr>
        <w:t>三、商务要求</w:t>
      </w:r>
    </w:p>
    <w:p w14:paraId="62E5AE2F" w14:textId="77777777" w:rsidR="00B1548D" w:rsidRDefault="00410E5A">
      <w:pPr>
        <w:snapToGrid w:val="0"/>
        <w:spacing w:line="360" w:lineRule="auto"/>
        <w:ind w:firstLineChars="200" w:firstLine="480"/>
        <w:rPr>
          <w:rFonts w:ascii="宋体" w:hAnsi="宋体" w:cs="宋体"/>
          <w:sz w:val="24"/>
        </w:rPr>
      </w:pPr>
      <w:r>
        <w:rPr>
          <w:rFonts w:ascii="宋体" w:hAnsi="宋体" w:cs="宋体" w:hint="eastAsia"/>
          <w:kern w:val="0"/>
          <w:sz w:val="24"/>
        </w:rPr>
        <w:t>1</w:t>
      </w:r>
      <w:r>
        <w:rPr>
          <w:rFonts w:ascii="宋体" w:hAnsi="宋体" w:cs="宋体" w:hint="eastAsia"/>
          <w:kern w:val="0"/>
          <w:sz w:val="24"/>
        </w:rPr>
        <w:t>、投标价：</w:t>
      </w:r>
      <w:r>
        <w:rPr>
          <w:rFonts w:ascii="宋体" w:hAnsi="宋体" w:cs="宋体" w:hint="eastAsia"/>
          <w:sz w:val="24"/>
        </w:rPr>
        <w:t>本次招标的检测项目占浙江省医疗服务价格收费标准的百分比（小写，小数点后保留两位，如：</w:t>
      </w:r>
      <w:r>
        <w:rPr>
          <w:rFonts w:ascii="宋体" w:hAnsi="宋体" w:cs="宋体" w:hint="eastAsia"/>
          <w:sz w:val="24"/>
        </w:rPr>
        <w:t>60.00</w:t>
      </w:r>
      <w:r>
        <w:rPr>
          <w:rFonts w:ascii="宋体" w:hAnsi="宋体" w:cs="宋体" w:hint="eastAsia"/>
          <w:sz w:val="24"/>
        </w:rPr>
        <w:t>）。所有检测项目的折扣率均须一致。</w:t>
      </w:r>
      <w:r>
        <w:rPr>
          <w:rFonts w:ascii="宋体" w:hAnsi="宋体" w:cs="宋体" w:hint="eastAsia"/>
          <w:snapToGrid w:val="0"/>
          <w:kern w:val="0"/>
          <w:sz w:val="24"/>
        </w:rPr>
        <w:t>如：投标人投标报价为</w:t>
      </w:r>
      <w:r>
        <w:rPr>
          <w:rFonts w:ascii="宋体" w:hAnsi="宋体" w:cs="宋体" w:hint="eastAsia"/>
          <w:snapToGrid w:val="0"/>
          <w:kern w:val="0"/>
          <w:sz w:val="24"/>
        </w:rPr>
        <w:t>60.00%</w:t>
      </w:r>
      <w:r>
        <w:rPr>
          <w:rFonts w:ascii="宋体" w:hAnsi="宋体" w:cs="宋体" w:hint="eastAsia"/>
          <w:snapToGrid w:val="0"/>
          <w:kern w:val="0"/>
          <w:sz w:val="24"/>
        </w:rPr>
        <w:t>，即中标后按</w:t>
      </w:r>
      <w:r>
        <w:rPr>
          <w:rFonts w:ascii="宋体" w:hAnsi="宋体" w:cs="宋体" w:hint="eastAsia"/>
          <w:sz w:val="24"/>
        </w:rPr>
        <w:t>检测项目浙江省医疗服务价格收费标准×</w:t>
      </w:r>
      <w:r>
        <w:rPr>
          <w:rFonts w:ascii="宋体" w:hAnsi="宋体" w:cs="宋体" w:hint="eastAsia"/>
          <w:sz w:val="24"/>
        </w:rPr>
        <w:t>60.00%</w:t>
      </w:r>
      <w:r>
        <w:rPr>
          <w:rFonts w:ascii="宋体" w:hAnsi="宋体" w:cs="宋体" w:hint="eastAsia"/>
          <w:sz w:val="24"/>
        </w:rPr>
        <w:t>的价格执行。</w:t>
      </w:r>
    </w:p>
    <w:p w14:paraId="20583FB5" w14:textId="77777777" w:rsidR="00B1548D" w:rsidRDefault="00410E5A">
      <w:pPr>
        <w:widowControl/>
        <w:spacing w:line="360" w:lineRule="auto"/>
        <w:ind w:firstLineChars="200" w:firstLine="480"/>
        <w:rPr>
          <w:rFonts w:ascii="宋体" w:hAnsi="宋体" w:cs="宋体"/>
          <w:sz w:val="24"/>
        </w:rPr>
      </w:pPr>
      <w:r>
        <w:rPr>
          <w:rFonts w:ascii="宋体" w:hAnsi="宋体" w:cs="宋体" w:hint="eastAsia"/>
          <w:sz w:val="24"/>
        </w:rPr>
        <w:t>标本外送检测服务费的收取具体为：标本外送检测服务费</w:t>
      </w:r>
      <w:r>
        <w:rPr>
          <w:rFonts w:ascii="宋体" w:hAnsi="宋体" w:cs="宋体" w:hint="eastAsia"/>
          <w:sz w:val="24"/>
        </w:rPr>
        <w:t>=</w:t>
      </w:r>
      <w:r>
        <w:rPr>
          <w:rFonts w:ascii="宋体" w:hAnsi="宋体" w:cs="宋体" w:hint="eastAsia"/>
          <w:sz w:val="24"/>
        </w:rPr>
        <w:t>∑（每个</w:t>
      </w:r>
      <w:r>
        <w:rPr>
          <w:rFonts w:ascii="宋体" w:hAnsi="宋体" w:cs="宋体" w:hint="eastAsia"/>
          <w:bCs/>
          <w:sz w:val="24"/>
        </w:rPr>
        <w:t>项目业务量</w:t>
      </w:r>
      <w:r>
        <w:rPr>
          <w:rFonts w:ascii="宋体" w:hAnsi="宋体" w:cs="宋体" w:hint="eastAsia"/>
          <w:sz w:val="24"/>
        </w:rPr>
        <w:t>×浙江省医疗服务价格收费标准）×投标价。</w:t>
      </w:r>
    </w:p>
    <w:p w14:paraId="7490B52E" w14:textId="77777777" w:rsidR="00B1548D" w:rsidRDefault="00410E5A">
      <w:pPr>
        <w:pStyle w:val="a7"/>
        <w:spacing w:line="360" w:lineRule="auto"/>
        <w:ind w:firstLineChars="200" w:firstLine="480"/>
        <w:rPr>
          <w:rFonts w:hAnsi="宋体" w:cs="宋体"/>
          <w:sz w:val="24"/>
          <w:szCs w:val="24"/>
        </w:rPr>
      </w:pPr>
      <w:r>
        <w:rPr>
          <w:rFonts w:hAnsi="宋体" w:cs="宋体" w:hint="eastAsia"/>
          <w:sz w:val="24"/>
          <w:szCs w:val="24"/>
        </w:rPr>
        <w:t>核算的唯一标准是浙江省医疗服务行业物价收费标准。</w:t>
      </w:r>
    </w:p>
    <w:p w14:paraId="6E8388EA" w14:textId="77777777" w:rsidR="00B1548D" w:rsidRDefault="00410E5A">
      <w:pPr>
        <w:pStyle w:val="a7"/>
        <w:spacing w:line="360" w:lineRule="auto"/>
        <w:ind w:firstLineChars="200" w:firstLine="480"/>
        <w:rPr>
          <w:rFonts w:hAnsi="宋体" w:cs="宋体"/>
          <w:sz w:val="24"/>
          <w:szCs w:val="24"/>
        </w:rPr>
      </w:pPr>
      <w:r>
        <w:rPr>
          <w:rFonts w:hAnsi="宋体" w:cs="宋体" w:hint="eastAsia"/>
          <w:sz w:val="24"/>
          <w:szCs w:val="24"/>
        </w:rPr>
        <w:t>合同期内投标价的调整：如物价收费标准上浮，按原收费标准×中标价执行；如物价收费标准下降，按下降后的收费标准×中标价执行。</w:t>
      </w:r>
    </w:p>
    <w:p w14:paraId="472865BB" w14:textId="77777777" w:rsidR="00B1548D" w:rsidRDefault="00410E5A">
      <w:pPr>
        <w:spacing w:line="360" w:lineRule="auto"/>
        <w:ind w:firstLineChars="200" w:firstLine="480"/>
        <w:rPr>
          <w:rFonts w:ascii="宋体" w:hAnsi="宋体" w:cs="宋体"/>
          <w:bCs/>
          <w:sz w:val="24"/>
        </w:rPr>
      </w:pPr>
      <w:r>
        <w:rPr>
          <w:rFonts w:ascii="宋体" w:hAnsi="宋体" w:cs="宋体" w:hint="eastAsia"/>
          <w:sz w:val="24"/>
        </w:rPr>
        <w:t>检测服务费包括但不限于样本采集、运输服务，配套车辆设备，配备服务人员，</w:t>
      </w:r>
      <w:r>
        <w:rPr>
          <w:rFonts w:ascii="宋体" w:hAnsi="宋体" w:cs="宋体" w:hint="eastAsia"/>
          <w:kern w:val="1"/>
          <w:sz w:val="24"/>
        </w:rPr>
        <w:t>售后服务，</w:t>
      </w:r>
      <w:r>
        <w:rPr>
          <w:rFonts w:ascii="宋体" w:hAnsi="宋体" w:cs="宋体" w:hint="eastAsia"/>
          <w:kern w:val="0"/>
          <w:sz w:val="24"/>
        </w:rPr>
        <w:t>质量监控信息</w:t>
      </w:r>
      <w:r>
        <w:rPr>
          <w:rFonts w:ascii="宋体" w:hAnsi="宋体" w:cs="宋体" w:hint="eastAsia"/>
          <w:sz w:val="24"/>
        </w:rPr>
        <w:t>，外送标本检测成本等</w:t>
      </w:r>
      <w:r>
        <w:rPr>
          <w:rFonts w:ascii="宋体" w:hAnsi="宋体" w:cs="宋体" w:hint="eastAsia"/>
          <w:kern w:val="1"/>
          <w:sz w:val="24"/>
        </w:rPr>
        <w:t>完成本项目所产生的一切费用，</w:t>
      </w:r>
      <w:r>
        <w:rPr>
          <w:rFonts w:ascii="宋体" w:hAnsi="宋体" w:cs="宋体" w:hint="eastAsia"/>
          <w:sz w:val="24"/>
        </w:rPr>
        <w:t>医院除标本外送检测服务费</w:t>
      </w:r>
      <w:r>
        <w:rPr>
          <w:rFonts w:ascii="宋体" w:hAnsi="宋体" w:cs="宋体" w:hint="eastAsia"/>
          <w:bCs/>
          <w:sz w:val="24"/>
        </w:rPr>
        <w:t>，不再另外支付任何其他费用。</w:t>
      </w:r>
    </w:p>
    <w:p w14:paraId="73D37FFC" w14:textId="77777777" w:rsidR="00B1548D" w:rsidRDefault="00410E5A">
      <w:pPr>
        <w:spacing w:line="360" w:lineRule="auto"/>
        <w:ind w:firstLineChars="200" w:firstLine="480"/>
        <w:rPr>
          <w:rFonts w:ascii="宋体" w:hAnsi="宋体" w:cs="宋体"/>
          <w:bCs/>
          <w:kern w:val="24"/>
          <w:sz w:val="24"/>
        </w:rPr>
      </w:pPr>
      <w:r>
        <w:rPr>
          <w:rFonts w:ascii="宋体" w:hAnsi="宋体" w:cs="宋体" w:hint="eastAsia"/>
          <w:bCs/>
          <w:kern w:val="24"/>
          <w:sz w:val="24"/>
        </w:rPr>
        <w:t>2</w:t>
      </w:r>
      <w:r>
        <w:rPr>
          <w:rFonts w:ascii="宋体" w:hAnsi="宋体" w:cs="宋体" w:hint="eastAsia"/>
          <w:bCs/>
          <w:kern w:val="24"/>
          <w:sz w:val="24"/>
        </w:rPr>
        <w:t>、付款方式</w:t>
      </w:r>
    </w:p>
    <w:p w14:paraId="13E1EA93"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 xml:space="preserve">2.1 </w:t>
      </w:r>
      <w:r>
        <w:rPr>
          <w:rFonts w:ascii="宋体" w:hAnsi="宋体" w:cs="宋体" w:hint="eastAsia"/>
          <w:bCs/>
          <w:sz w:val="24"/>
        </w:rPr>
        <w:t>检测费用按月结算，业务量的结算以</w:t>
      </w:r>
      <w:r>
        <w:rPr>
          <w:rFonts w:ascii="宋体" w:hAnsi="宋体" w:cs="宋体" w:hint="eastAsia"/>
          <w:sz w:val="24"/>
        </w:rPr>
        <w:t>结算周期内项目检测清单或</w:t>
      </w:r>
      <w:r>
        <w:rPr>
          <w:rFonts w:ascii="宋体" w:hAnsi="宋体" w:cs="宋体" w:hint="eastAsia"/>
          <w:bCs/>
          <w:sz w:val="24"/>
        </w:rPr>
        <w:t>每月外送标本登记的签收记录为基准。</w:t>
      </w:r>
    </w:p>
    <w:p w14:paraId="5CF0BEFA"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 xml:space="preserve">2.2 </w:t>
      </w:r>
      <w:r>
        <w:rPr>
          <w:rFonts w:ascii="宋体" w:hAnsi="宋体" w:cs="宋体" w:hint="eastAsia"/>
          <w:bCs/>
          <w:sz w:val="24"/>
        </w:rPr>
        <w:t>每月就上月检测项目进行结算。</w:t>
      </w:r>
    </w:p>
    <w:p w14:paraId="1ADB51CB"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 xml:space="preserve">2.3 </w:t>
      </w:r>
      <w:r>
        <w:rPr>
          <w:rFonts w:ascii="宋体" w:hAnsi="宋体" w:cs="宋体" w:hint="eastAsia"/>
          <w:bCs/>
          <w:sz w:val="24"/>
        </w:rPr>
        <w:t>经双方共同确认检测数量无异议后，医院在收到中标方的发票后支付检测服务费用。</w:t>
      </w:r>
    </w:p>
    <w:p w14:paraId="6ADD8B78" w14:textId="77777777" w:rsidR="00B1548D" w:rsidRDefault="00410E5A">
      <w:pPr>
        <w:pStyle w:val="a7"/>
        <w:spacing w:line="360" w:lineRule="auto"/>
        <w:ind w:firstLineChars="200" w:firstLine="480"/>
        <w:rPr>
          <w:rFonts w:hAnsi="宋体" w:cs="宋体"/>
          <w:kern w:val="0"/>
          <w:sz w:val="24"/>
          <w:szCs w:val="24"/>
        </w:rPr>
      </w:pPr>
      <w:r>
        <w:rPr>
          <w:rFonts w:hAnsi="宋体" w:cs="宋体" w:hint="eastAsia"/>
          <w:kern w:val="0"/>
          <w:sz w:val="24"/>
          <w:szCs w:val="24"/>
        </w:rPr>
        <w:t>3</w:t>
      </w:r>
      <w:r>
        <w:rPr>
          <w:rFonts w:hAnsi="宋体" w:cs="宋体" w:hint="eastAsia"/>
          <w:kern w:val="0"/>
          <w:sz w:val="24"/>
          <w:szCs w:val="24"/>
        </w:rPr>
        <w:t>、服务期限：</w:t>
      </w:r>
      <w:r>
        <w:rPr>
          <w:rFonts w:hAnsi="宋体" w:cs="宋体" w:hint="eastAsia"/>
          <w:sz w:val="24"/>
          <w:szCs w:val="24"/>
          <w:lang w:val="zh-CN"/>
        </w:rPr>
        <w:t>2</w:t>
      </w:r>
      <w:r>
        <w:rPr>
          <w:rFonts w:hAnsi="宋体" w:cs="宋体" w:hint="eastAsia"/>
          <w:sz w:val="24"/>
          <w:szCs w:val="24"/>
          <w:lang w:val="zh-CN"/>
        </w:rPr>
        <w:t>年。</w:t>
      </w:r>
    </w:p>
    <w:p w14:paraId="503C79AC" w14:textId="77777777" w:rsidR="00B1548D" w:rsidRDefault="00410E5A">
      <w:pPr>
        <w:spacing w:line="360" w:lineRule="auto"/>
        <w:ind w:firstLineChars="200" w:firstLine="480"/>
        <w:rPr>
          <w:rFonts w:ascii="宋体" w:hAnsi="宋体" w:cs="宋体"/>
          <w:kern w:val="1"/>
          <w:sz w:val="24"/>
        </w:rPr>
      </w:pPr>
      <w:r>
        <w:rPr>
          <w:rFonts w:ascii="宋体" w:hAnsi="宋体" w:cs="宋体" w:hint="eastAsia"/>
          <w:kern w:val="1"/>
          <w:sz w:val="24"/>
        </w:rPr>
        <w:t>4.</w:t>
      </w:r>
      <w:r>
        <w:rPr>
          <w:rFonts w:ascii="宋体" w:hAnsi="宋体" w:cs="宋体" w:hint="eastAsia"/>
          <w:kern w:val="1"/>
          <w:sz w:val="24"/>
        </w:rPr>
        <w:t>其他</w:t>
      </w:r>
    </w:p>
    <w:p w14:paraId="3B1497B9" w14:textId="77777777" w:rsidR="00B1548D" w:rsidRDefault="00410E5A">
      <w:pPr>
        <w:widowControl/>
        <w:spacing w:line="360" w:lineRule="auto"/>
        <w:ind w:firstLineChars="200" w:firstLine="480"/>
        <w:rPr>
          <w:rFonts w:ascii="宋体" w:hAnsi="宋体" w:cs="宋体"/>
          <w:sz w:val="24"/>
        </w:rPr>
      </w:pPr>
      <w:r>
        <w:rPr>
          <w:rFonts w:ascii="宋体" w:hAnsi="宋体" w:cs="宋体" w:hint="eastAsia"/>
          <w:sz w:val="24"/>
        </w:rPr>
        <w:t>4.1</w:t>
      </w:r>
      <w:r>
        <w:rPr>
          <w:rFonts w:ascii="宋体" w:hAnsi="宋体" w:cs="宋体" w:hint="eastAsia"/>
          <w:sz w:val="24"/>
        </w:rPr>
        <w:t>报告时间延迟半天扣检测费的</w:t>
      </w:r>
      <w:r>
        <w:rPr>
          <w:rFonts w:ascii="宋体" w:hAnsi="宋体" w:cs="宋体" w:hint="eastAsia"/>
          <w:sz w:val="24"/>
        </w:rPr>
        <w:t>50%</w:t>
      </w:r>
      <w:r>
        <w:rPr>
          <w:rFonts w:ascii="宋体" w:hAnsi="宋体" w:cs="宋体" w:hint="eastAsia"/>
          <w:sz w:val="24"/>
        </w:rPr>
        <w:t>，延迟一天检测费减免，如造成投诉纠纷需承担相应责任。五次以上延迟报告的，采购人有权提前解除合同。</w:t>
      </w:r>
    </w:p>
    <w:p w14:paraId="200D5EB0" w14:textId="77777777" w:rsidR="00B1548D" w:rsidRDefault="00410E5A">
      <w:pPr>
        <w:widowControl/>
        <w:spacing w:line="360" w:lineRule="auto"/>
        <w:ind w:firstLineChars="200" w:firstLine="480"/>
        <w:rPr>
          <w:rFonts w:ascii="宋体" w:hAnsi="宋体" w:cs="宋体"/>
          <w:sz w:val="24"/>
        </w:rPr>
      </w:pPr>
      <w:r>
        <w:rPr>
          <w:rFonts w:ascii="宋体" w:hAnsi="宋体" w:cs="宋体" w:hint="eastAsia"/>
          <w:sz w:val="24"/>
        </w:rPr>
        <w:t>4.2</w:t>
      </w:r>
      <w:r>
        <w:rPr>
          <w:rFonts w:ascii="宋体" w:hAnsi="宋体" w:cs="宋体" w:hint="eastAsia"/>
          <w:sz w:val="24"/>
        </w:rPr>
        <w:t>检测结果的准确性：对结果有差异的，中标人应无条件免费复查。</w:t>
      </w:r>
    </w:p>
    <w:p w14:paraId="3BF64E8B"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4.3</w:t>
      </w:r>
      <w:r>
        <w:rPr>
          <w:rFonts w:ascii="宋体" w:hAnsi="宋体" w:cs="宋体" w:hint="eastAsia"/>
          <w:bCs/>
          <w:sz w:val="24"/>
        </w:rPr>
        <w:t>中标方对检验结果负责，因检验结果问题引起的医疗纠纷，对患方的所有赔（补）</w:t>
      </w:r>
      <w:r>
        <w:rPr>
          <w:rFonts w:ascii="宋体" w:hAnsi="宋体" w:cs="宋体" w:hint="eastAsia"/>
          <w:bCs/>
          <w:sz w:val="24"/>
        </w:rPr>
        <w:lastRenderedPageBreak/>
        <w:t>偿费用完全由中标方支付，同时中标方应对医院进行相应赔偿。</w:t>
      </w:r>
    </w:p>
    <w:p w14:paraId="733004B5"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4.4</w:t>
      </w:r>
      <w:r>
        <w:rPr>
          <w:rFonts w:ascii="宋体" w:hAnsi="宋体" w:cs="宋体" w:hint="eastAsia"/>
          <w:bCs/>
          <w:sz w:val="24"/>
        </w:rPr>
        <w:t>中标</w:t>
      </w:r>
      <w:r>
        <w:rPr>
          <w:rFonts w:ascii="宋体" w:hAnsi="宋体" w:cs="宋体" w:hint="eastAsia"/>
          <w:bCs/>
          <w:sz w:val="24"/>
        </w:rPr>
        <w:t>人</w:t>
      </w:r>
      <w:r>
        <w:rPr>
          <w:rFonts w:ascii="宋体" w:hAnsi="宋体" w:cs="宋体" w:hint="eastAsia"/>
          <w:bCs/>
          <w:sz w:val="24"/>
        </w:rPr>
        <w:t>应根据采购人的要求，为采购人提供分析前样本的质量控制等</w:t>
      </w:r>
      <w:r>
        <w:rPr>
          <w:rFonts w:ascii="宋体" w:hAnsi="宋体" w:cs="宋体" w:hint="eastAsia"/>
          <w:bCs/>
          <w:sz w:val="24"/>
        </w:rPr>
        <w:t>相关内容的培训服务，按照医院的要求维护所有必需的质量控制项目，每季度提交质量控制数据记录。</w:t>
      </w:r>
    </w:p>
    <w:p w14:paraId="14318845"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4.5</w:t>
      </w:r>
      <w:r>
        <w:rPr>
          <w:rFonts w:ascii="宋体" w:hAnsi="宋体" w:cs="宋体" w:hint="eastAsia"/>
          <w:bCs/>
          <w:sz w:val="24"/>
        </w:rPr>
        <w:t>合同签订后医院有新增加项目，中标方应同意并按已签订合同的折扣执行，否则医院有权另行委托其他第三方检测机构。</w:t>
      </w:r>
    </w:p>
    <w:p w14:paraId="4B4583ED"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4.6</w:t>
      </w:r>
      <w:r>
        <w:rPr>
          <w:rFonts w:ascii="宋体" w:hAnsi="宋体" w:cs="宋体" w:hint="eastAsia"/>
          <w:bCs/>
          <w:sz w:val="24"/>
        </w:rPr>
        <w:t>合同期内，检测项目医院有能力自行开展的，医院可自行检测，可随时不再委托中标人进行检测。中标折扣率不予以调整。</w:t>
      </w:r>
    </w:p>
    <w:p w14:paraId="44E2F22A"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4.7</w:t>
      </w:r>
      <w:r>
        <w:rPr>
          <w:rFonts w:ascii="宋体" w:hAnsi="宋体" w:cs="宋体" w:hint="eastAsia"/>
          <w:bCs/>
          <w:sz w:val="24"/>
        </w:rPr>
        <w:t>采购人将不定期组织专家至中标方现场检查、督导并查看试剂、设备等采购相关台账，如发现中标方存在提供虚假信息或未经院方同意私自更改使用试剂的品牌和检验项目的方法学等现象，采购人有权立即终止</w:t>
      </w:r>
      <w:r>
        <w:rPr>
          <w:rFonts w:ascii="宋体" w:hAnsi="宋体" w:cs="宋体" w:hint="eastAsia"/>
          <w:bCs/>
          <w:sz w:val="24"/>
        </w:rPr>
        <w:t>合同，中标方需按已做项目的收费金额赔偿院方，并承担所有相关违约责任。</w:t>
      </w:r>
    </w:p>
    <w:p w14:paraId="517111A5" w14:textId="77777777" w:rsidR="00B1548D" w:rsidRDefault="00410E5A">
      <w:pPr>
        <w:spacing w:line="360" w:lineRule="auto"/>
        <w:ind w:firstLineChars="200" w:firstLine="480"/>
        <w:rPr>
          <w:rFonts w:ascii="宋体" w:hAnsi="宋体" w:cs="宋体"/>
          <w:bCs/>
          <w:sz w:val="24"/>
        </w:rPr>
      </w:pPr>
      <w:r>
        <w:rPr>
          <w:rFonts w:ascii="宋体" w:hAnsi="宋体" w:cs="宋体" w:hint="eastAsia"/>
          <w:bCs/>
          <w:sz w:val="24"/>
        </w:rPr>
        <w:t>4.8</w:t>
      </w:r>
      <w:r>
        <w:rPr>
          <w:rFonts w:ascii="宋体" w:hAnsi="宋体" w:cs="宋体" w:hint="eastAsia"/>
          <w:bCs/>
          <w:sz w:val="24"/>
        </w:rPr>
        <w:t>中标方必须严格遵守《中华人民共和国人类遗传资源管理条例》，如有违反，所有责任由中标方承担。</w:t>
      </w:r>
    </w:p>
    <w:p w14:paraId="16753584" w14:textId="77777777" w:rsidR="00B1548D" w:rsidRDefault="00B1548D">
      <w:pPr>
        <w:rPr>
          <w:rFonts w:ascii="宋体" w:hAnsi="宋体" w:cs="宋体"/>
        </w:rPr>
      </w:pPr>
    </w:p>
    <w:sectPr w:rsidR="00B1548D">
      <w:pgSz w:w="11906" w:h="16838"/>
      <w:pgMar w:top="1440" w:right="1349" w:bottom="1440" w:left="134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5C479" w14:textId="77777777" w:rsidR="00410E5A" w:rsidRDefault="00410E5A" w:rsidP="004C0A99">
      <w:r>
        <w:separator/>
      </w:r>
    </w:p>
  </w:endnote>
  <w:endnote w:type="continuationSeparator" w:id="0">
    <w:p w14:paraId="1772DF65" w14:textId="77777777" w:rsidR="00410E5A" w:rsidRDefault="00410E5A" w:rsidP="004C0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BDAF1" w14:textId="77777777" w:rsidR="00410E5A" w:rsidRDefault="00410E5A" w:rsidP="004C0A99">
      <w:r>
        <w:separator/>
      </w:r>
    </w:p>
  </w:footnote>
  <w:footnote w:type="continuationSeparator" w:id="0">
    <w:p w14:paraId="3C4976E1" w14:textId="77777777" w:rsidR="00410E5A" w:rsidRDefault="00410E5A" w:rsidP="004C0A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7A3"/>
    <w:rsid w:val="00006FB5"/>
    <w:rsid w:val="0007183B"/>
    <w:rsid w:val="00082A8A"/>
    <w:rsid w:val="00087C7E"/>
    <w:rsid w:val="00166F58"/>
    <w:rsid w:val="001D1228"/>
    <w:rsid w:val="0022250D"/>
    <w:rsid w:val="002838AC"/>
    <w:rsid w:val="002859BD"/>
    <w:rsid w:val="002A46C0"/>
    <w:rsid w:val="0033382B"/>
    <w:rsid w:val="003E7BBF"/>
    <w:rsid w:val="00410E5A"/>
    <w:rsid w:val="004572CF"/>
    <w:rsid w:val="004C0A99"/>
    <w:rsid w:val="00607D87"/>
    <w:rsid w:val="00652B27"/>
    <w:rsid w:val="006828E8"/>
    <w:rsid w:val="006B07C4"/>
    <w:rsid w:val="006B4530"/>
    <w:rsid w:val="006E4D9E"/>
    <w:rsid w:val="007801FE"/>
    <w:rsid w:val="0085757B"/>
    <w:rsid w:val="008B24E3"/>
    <w:rsid w:val="00936579"/>
    <w:rsid w:val="009C69B3"/>
    <w:rsid w:val="00A15955"/>
    <w:rsid w:val="00B1548D"/>
    <w:rsid w:val="00B17965"/>
    <w:rsid w:val="00B22AA9"/>
    <w:rsid w:val="00B2781A"/>
    <w:rsid w:val="00B82FA6"/>
    <w:rsid w:val="00BB5D82"/>
    <w:rsid w:val="00BF1867"/>
    <w:rsid w:val="00C127A3"/>
    <w:rsid w:val="00C14864"/>
    <w:rsid w:val="00C363FF"/>
    <w:rsid w:val="00C85EBF"/>
    <w:rsid w:val="00C931F5"/>
    <w:rsid w:val="00CA1269"/>
    <w:rsid w:val="00CA4C65"/>
    <w:rsid w:val="00D73B7D"/>
    <w:rsid w:val="00DB4AAA"/>
    <w:rsid w:val="00DC23E2"/>
    <w:rsid w:val="00DC7D6E"/>
    <w:rsid w:val="00E34DCF"/>
    <w:rsid w:val="00E50AD2"/>
    <w:rsid w:val="00E7117B"/>
    <w:rsid w:val="00EB4A48"/>
    <w:rsid w:val="00EB5F62"/>
    <w:rsid w:val="00EB7D63"/>
    <w:rsid w:val="00F352F0"/>
    <w:rsid w:val="14EC0E8D"/>
    <w:rsid w:val="17233563"/>
    <w:rsid w:val="24510797"/>
    <w:rsid w:val="2BC270C8"/>
    <w:rsid w:val="38D73F79"/>
    <w:rsid w:val="42B775C7"/>
    <w:rsid w:val="55305B16"/>
    <w:rsid w:val="5C4E644E"/>
    <w:rsid w:val="689E42BA"/>
    <w:rsid w:val="6D843218"/>
    <w:rsid w:val="775B4804"/>
    <w:rsid w:val="7BCA70CE"/>
    <w:rsid w:val="7BF22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C1F3A"/>
  <w15:docId w15:val="{492A7873-07AC-463D-AC60-5C6405C82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uiPriority="0"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cs="Calibri"/>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TOC6"/>
    <w:link w:val="a5"/>
    <w:uiPriority w:val="99"/>
    <w:semiHidden/>
    <w:unhideWhenUsed/>
    <w:qFormat/>
    <w:pPr>
      <w:ind w:firstLineChars="100" w:firstLine="420"/>
    </w:pPr>
  </w:style>
  <w:style w:type="paragraph" w:styleId="a4">
    <w:name w:val="Body Text"/>
    <w:basedOn w:val="a"/>
    <w:next w:val="a0"/>
    <w:link w:val="a6"/>
    <w:uiPriority w:val="99"/>
    <w:semiHidden/>
    <w:unhideWhenUsed/>
    <w:qFormat/>
    <w:pPr>
      <w:spacing w:after="120"/>
    </w:pPr>
  </w:style>
  <w:style w:type="paragraph" w:styleId="TOC6">
    <w:name w:val="toc 6"/>
    <w:basedOn w:val="a"/>
    <w:next w:val="a"/>
    <w:qFormat/>
    <w:pPr>
      <w:ind w:left="1050"/>
      <w:jc w:val="left"/>
    </w:pPr>
    <w:rPr>
      <w:sz w:val="18"/>
      <w:szCs w:val="18"/>
    </w:rPr>
  </w:style>
  <w:style w:type="paragraph" w:styleId="a7">
    <w:name w:val="Plain Text"/>
    <w:basedOn w:val="a"/>
    <w:link w:val="1"/>
    <w:qFormat/>
    <w:pPr>
      <w:adjustRightInd w:val="0"/>
    </w:pPr>
    <w:rPr>
      <w:rFonts w:ascii="宋体" w:hAnsi="Courier New" w:cs="Arial"/>
      <w:snapToGrid w:val="0"/>
    </w:rPr>
  </w:style>
  <w:style w:type="paragraph" w:styleId="2">
    <w:name w:val="Body Text Indent 2"/>
    <w:basedOn w:val="a"/>
    <w:uiPriority w:val="99"/>
    <w:qFormat/>
    <w:pPr>
      <w:widowControl/>
      <w:spacing w:line="480" w:lineRule="atLeast"/>
      <w:ind w:firstLine="480"/>
    </w:pPr>
    <w:rPr>
      <w:rFonts w:ascii="宋体"/>
      <w:kern w:val="0"/>
      <w:sz w:val="24"/>
      <w:szCs w:val="20"/>
    </w:rPr>
  </w:style>
  <w:style w:type="paragraph" w:styleId="a8">
    <w:name w:val="footer"/>
    <w:basedOn w:val="a"/>
    <w:link w:val="a9"/>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paragraph" w:styleId="ac">
    <w:name w:val="List Paragraph"/>
    <w:basedOn w:val="a"/>
    <w:uiPriority w:val="99"/>
    <w:qFormat/>
    <w:pPr>
      <w:ind w:firstLineChars="200" w:firstLine="420"/>
    </w:pPr>
  </w:style>
  <w:style w:type="character" w:customStyle="1" w:styleId="a6">
    <w:name w:val="正文文本 字符"/>
    <w:basedOn w:val="a1"/>
    <w:link w:val="a4"/>
    <w:uiPriority w:val="99"/>
    <w:semiHidden/>
    <w:qFormat/>
    <w:rPr>
      <w:rFonts w:cs="Calibri"/>
      <w:kern w:val="2"/>
      <w:sz w:val="21"/>
      <w:szCs w:val="21"/>
    </w:rPr>
  </w:style>
  <w:style w:type="character" w:customStyle="1" w:styleId="a5">
    <w:name w:val="正文文本首行缩进 字符"/>
    <w:basedOn w:val="a6"/>
    <w:link w:val="a0"/>
    <w:uiPriority w:val="99"/>
    <w:semiHidden/>
    <w:qFormat/>
    <w:rPr>
      <w:rFonts w:cs="Calibri"/>
      <w:kern w:val="2"/>
      <w:sz w:val="21"/>
      <w:szCs w:val="21"/>
    </w:rPr>
  </w:style>
  <w:style w:type="character" w:customStyle="1" w:styleId="ad">
    <w:name w:val="纯文本 字符"/>
    <w:basedOn w:val="a1"/>
    <w:uiPriority w:val="99"/>
    <w:semiHidden/>
    <w:qFormat/>
    <w:rPr>
      <w:rFonts w:asciiTheme="minorEastAsia" w:eastAsiaTheme="minorEastAsia" w:hAnsi="Courier New" w:cs="Courier New"/>
      <w:kern w:val="2"/>
      <w:sz w:val="21"/>
      <w:szCs w:val="21"/>
    </w:rPr>
  </w:style>
  <w:style w:type="character" w:customStyle="1" w:styleId="1">
    <w:name w:val="纯文本 字符1"/>
    <w:link w:val="a7"/>
    <w:qFormat/>
    <w:rPr>
      <w:rFonts w:ascii="宋体" w:hAnsi="Courier New" w:cs="Arial"/>
      <w:snapToGrid w:val="0"/>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278</Words>
  <Characters>1587</Characters>
  <Application>Microsoft Office Word</Application>
  <DocSecurity>0</DocSecurity>
  <Lines>13</Lines>
  <Paragraphs>3</Paragraphs>
  <ScaleCrop>false</ScaleCrop>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29</cp:revision>
  <dcterms:created xsi:type="dcterms:W3CDTF">2021-02-05T08:42:00Z</dcterms:created>
  <dcterms:modified xsi:type="dcterms:W3CDTF">2026-01-30T06:04:00Z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B42931538FF54C188DD5D819F117809B_13</vt:lpwstr>
  </property>
  <property fmtid="{D5CDD505-2E9C-101B-9397-08002B2CF9AE}" pid="4" name="KSOTemplateDocerSaveRecord">
    <vt:lpwstr>eyJoZGlkIjoiNzU0ODliYjYzN2MzNDJiZWJlNWFlNzVmOWI2ZDg2ZTAiLCJ1c2VySWQiOiIxNjQxNDE2MTE2In0=</vt:lpwstr>
  </property>
</Properties>
</file>