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6"/>
        <w:gridCol w:w="1675"/>
        <w:gridCol w:w="8320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76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color w:val="auto"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color w:val="auto"/>
                <w:sz w:val="28"/>
                <w:szCs w:val="28"/>
              </w:rPr>
              <w:t>目名称</w:t>
            </w:r>
          </w:p>
        </w:tc>
        <w:tc>
          <w:tcPr>
            <w:tcW w:w="3723" w:type="pct"/>
            <w:shd w:val="clear" w:color="auto" w:fill="auto"/>
            <w:vAlign w:val="top"/>
          </w:tcPr>
          <w:p w14:paraId="2BB75883">
            <w:pPr>
              <w:tabs>
                <w:tab w:val="left" w:pos="874"/>
              </w:tabs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全院检定类非强检医疗设备年检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76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23" w:type="pct"/>
            <w:shd w:val="clear" w:color="auto" w:fill="auto"/>
            <w:vAlign w:val="top"/>
          </w:tcPr>
          <w:p w14:paraId="34832523">
            <w:pPr>
              <w:tabs>
                <w:tab w:val="left" w:pos="874"/>
              </w:tabs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全院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45B0408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数量：一批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6249610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="宋体" w:asciiTheme="majorEastAsia" w:hAnsi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用途：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为确保设备量值准确，保障使用安全，临床相关部门提出申请需对部分在用非强检医疗设备进行检测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4C43A104">
            <w:pPr>
              <w:ind w:right="17" w:rightChars="8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资质要求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164395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2.1.1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3FFBC0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trike/>
                <w:dstrike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  <w:lang w:eastAsia="zh-Hans"/>
              </w:rPr>
              <w:t>供应商需有市级及以上</w:t>
            </w:r>
            <w:r>
              <w:rPr>
                <w:rFonts w:hint="eastAsia" w:asciiTheme="minorEastAsia" w:hAnsiTheme="minorEastAsia"/>
                <w:color w:val="auto"/>
                <w:spacing w:val="-6"/>
                <w:sz w:val="24"/>
                <w:szCs w:val="24"/>
              </w:rPr>
              <w:t>市场监管部门批准的检验检测机构资质认定证书</w:t>
            </w:r>
            <w:r>
              <w:rPr>
                <w:rFonts w:hint="eastAsia" w:asciiTheme="minorEastAsia" w:hAnsiTheme="minorEastAsia"/>
                <w:color w:val="auto"/>
                <w:spacing w:val="-6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color w:val="auto"/>
                <w:spacing w:val="-6"/>
                <w:sz w:val="24"/>
                <w:szCs w:val="24"/>
              </w:rPr>
              <w:t>能力附表覆盖所检项目并与招标标准一致</w:t>
            </w:r>
            <w:r>
              <w:rPr>
                <w:rFonts w:hint="eastAsia" w:asciiTheme="minorEastAsia" w:hAnsiTheme="minorEastAsia"/>
                <w:color w:val="auto"/>
                <w:spacing w:val="-6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color w:val="auto"/>
                <w:spacing w:val="-6"/>
                <w:sz w:val="24"/>
                <w:szCs w:val="24"/>
                <w:lang w:val="en-US" w:eastAsia="zh-CN"/>
              </w:rPr>
              <w:t>提供资质证书和能力附表</w:t>
            </w:r>
            <w:r>
              <w:rPr>
                <w:rFonts w:asciiTheme="minorEastAsia" w:hAnsiTheme="minorEastAsia"/>
                <w:color w:val="auto"/>
                <w:spacing w:val="-6"/>
                <w:sz w:val="24"/>
                <w:szCs w:val="24"/>
              </w:rPr>
              <w:t>；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27D471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2.1.2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5AF8FC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bCs/>
                <w:strike/>
                <w:dstrike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pacing w:val="-6"/>
                <w:sz w:val="24"/>
                <w:szCs w:val="24"/>
                <w:lang w:eastAsia="zh-Hans"/>
              </w:rPr>
              <w:t>供应商具有</w:t>
            </w:r>
            <w:r>
              <w:rPr>
                <w:rFonts w:hint="eastAsia"/>
                <w:color w:val="auto"/>
                <w:sz w:val="24"/>
                <w:szCs w:val="24"/>
              </w:rPr>
              <w:t>满足本项目检测需求</w:t>
            </w:r>
            <w:r>
              <w:rPr>
                <w:rFonts w:hint="eastAsia"/>
                <w:color w:val="auto"/>
                <w:sz w:val="24"/>
                <w:szCs w:val="24"/>
                <w:lang w:eastAsia="zh-Hans"/>
              </w:rPr>
              <w:t>的仪器设备</w:t>
            </w:r>
            <w:r>
              <w:rPr>
                <w:color w:val="auto"/>
                <w:sz w:val="24"/>
                <w:szCs w:val="24"/>
                <w:lang w:eastAsia="zh-Hans"/>
              </w:rPr>
              <w:t>，</w:t>
            </w:r>
            <w:r>
              <w:rPr>
                <w:rFonts w:hint="eastAsia"/>
                <w:color w:val="auto"/>
                <w:sz w:val="24"/>
                <w:szCs w:val="24"/>
                <w:lang w:eastAsia="zh-Hans"/>
              </w:rPr>
              <w:t>且</w:t>
            </w:r>
            <w:r>
              <w:rPr>
                <w:color w:val="auto"/>
                <w:spacing w:val="-4"/>
                <w:sz w:val="24"/>
                <w:szCs w:val="24"/>
              </w:rPr>
              <w:t>必须在合格有效期内，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提供校准或检定证书，</w:t>
            </w:r>
            <w:r>
              <w:rPr>
                <w:color w:val="auto"/>
                <w:spacing w:val="-4"/>
                <w:sz w:val="24"/>
                <w:szCs w:val="24"/>
              </w:rPr>
              <w:t>符合标准要求；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6" w:type="pct"/>
            <w:shd w:val="clear" w:color="auto" w:fill="auto"/>
            <w:vAlign w:val="top"/>
          </w:tcPr>
          <w:p w14:paraId="21932B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2.1.3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1358C8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trike/>
                <w:dstrike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项目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检测人员</w:t>
            </w:r>
            <w:r>
              <w:rPr>
                <w:color w:val="auto"/>
                <w:spacing w:val="-4"/>
                <w:sz w:val="24"/>
                <w:szCs w:val="24"/>
              </w:rPr>
              <w:t>必须为本单位专职人员并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具有相关项目的授权证书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eastAsia="zh-CN"/>
              </w:rPr>
              <w:t>，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提供授权证书及社保证明；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0F18AC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2.2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5B67F1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其他要求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497608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2.2.1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06D6EB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  <w:lang w:eastAsia="zh-Hans"/>
              </w:rPr>
              <w:t>供应商接受医院委托，在指定场所进行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检定</w:t>
            </w:r>
            <w:r>
              <w:rPr>
                <w:rFonts w:hint="eastAsia"/>
                <w:color w:val="auto"/>
                <w:sz w:val="24"/>
                <w:szCs w:val="24"/>
                <w:lang w:eastAsia="zh-Hans"/>
              </w:rPr>
              <w:t>，具体的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检定</w:t>
            </w:r>
            <w:r>
              <w:rPr>
                <w:rFonts w:hint="eastAsia"/>
                <w:color w:val="auto"/>
                <w:sz w:val="24"/>
                <w:szCs w:val="24"/>
                <w:lang w:eastAsia="zh-Hans"/>
              </w:rPr>
              <w:t>时间根据医院要求制定，在不影响采购人工作的前提下，完成检测任务；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7CD713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2.2.2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43AF1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bCs/>
                <w:strike/>
                <w:dstrike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供应商应严格按照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eastAsia="zh-Hans"/>
              </w:rPr>
              <w:t>相关</w:t>
            </w:r>
            <w:r>
              <w:rPr>
                <w:rFonts w:hint="eastAsia"/>
                <w:color w:val="auto"/>
                <w:spacing w:val="-4"/>
                <w:sz w:val="24"/>
                <w:szCs w:val="24"/>
              </w:rPr>
              <w:t>规范</w:t>
            </w:r>
            <w:r>
              <w:rPr>
                <w:color w:val="auto"/>
                <w:spacing w:val="-4"/>
                <w:sz w:val="24"/>
                <w:szCs w:val="24"/>
              </w:rPr>
              <w:t>的要求开展各项工作，保证测试数据的公正性、科学性、准确性和可追溯性；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0403BE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14C167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bCs/>
                <w:strike/>
                <w:dstrike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trike w:val="0"/>
                <w:color w:val="auto"/>
                <w:kern w:val="0"/>
                <w:sz w:val="24"/>
                <w:szCs w:val="24"/>
                <w:lang w:val="en-US" w:eastAsia="zh-CN" w:bidi="ar-SA"/>
              </w:rPr>
              <w:t>具体检测要求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3DEDF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4B347475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ind w:left="0" w:leftChars="0" w:right="0" w:rightChars="0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供应商需在技术响应栏里写明所提供的报告类型；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2829DD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2.3.2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5E81DA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医用超声诊断仪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7CBC48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2.3.2.1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6A7EE1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：《JJG 639-1998医用超声诊断仪超声源检定规程》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检测内容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包括但不限于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外观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输出声强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患者漏电流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探测深度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侧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轴向分辨力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盲区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几何位置示值误差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囊性病灶直径误差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次数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1次/年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，提供检定报告；</w:t>
            </w:r>
            <w:r>
              <w:rPr>
                <w:rFonts w:hint="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（提供每台设备检测的探头数量）</w:t>
            </w:r>
          </w:p>
        </w:tc>
      </w:tr>
      <w:tr w14:paraId="3E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216B7F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2.3.3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0FB762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电子天平</w:t>
            </w:r>
          </w:p>
        </w:tc>
      </w:tr>
      <w:tr w14:paraId="03A6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1F6669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2.3.3.1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28335C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：《JJG 1036-20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22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电子天平检定规程》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检测内容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包括但不限于</w:t>
            </w:r>
            <w:r>
              <w:rPr>
                <w:rFonts w:hint="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外观检查、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偏载误差、重复性、</w:t>
            </w:r>
            <w:r>
              <w:rPr>
                <w:rFonts w:hint="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置零准确度、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示值误差</w:t>
            </w:r>
            <w:r>
              <w:rPr>
                <w:rFonts w:hint="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及除皮载荷等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检测次数1次/年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，提供检定报告</w:t>
            </w:r>
          </w:p>
        </w:tc>
      </w:tr>
      <w:tr w14:paraId="6004B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7168D3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2.3.4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383DD6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电子秤</w:t>
            </w:r>
          </w:p>
        </w:tc>
      </w:tr>
      <w:tr w14:paraId="6664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1DA8DB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2.3.4.1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3AE756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：《JJG 539-2016数字指示秤检定规程》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检测内容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包括但不限于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示值误差、不确定度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检测次数1次/年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，提供检定报告</w:t>
            </w:r>
          </w:p>
        </w:tc>
      </w:tr>
      <w:tr w14:paraId="2204C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4B09EC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2.3.5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492936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酸度计</w:t>
            </w:r>
          </w:p>
        </w:tc>
      </w:tr>
      <w:tr w14:paraId="69834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6F5DE2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2.3.5.1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2443ED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：《JJG 119-2018实验室 pH(酸度)计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检定规程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，检测内容包括但不限于仪器示值误差，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检测次数1次/年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，提供检定报告</w:t>
            </w:r>
          </w:p>
        </w:tc>
      </w:tr>
      <w:tr w14:paraId="481B8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1C5836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2.3.6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00AAC9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紫外可见分光光度计</w:t>
            </w:r>
          </w:p>
        </w:tc>
      </w:tr>
      <w:tr w14:paraId="2CC30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3A6367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2.3.6.1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026592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：《JJG 178-2007紫外、可见、近红外分光光度计检定规程》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检测内容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包括但不限于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外观、波长示值误差与重复性、透射比示值误差与重复性、杂散光、基线平直度、噪声、漂移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检测次数1次/年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，提供检定报告</w:t>
            </w:r>
          </w:p>
        </w:tc>
      </w:tr>
      <w:tr w14:paraId="755E0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36F953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2.3.7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51708D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砝码</w:t>
            </w:r>
          </w:p>
        </w:tc>
      </w:tr>
      <w:tr w14:paraId="382CD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6F1E1C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2.3.7.1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69A39C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：《JJG 99-2006砝码检定规程》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，检测内容详见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准确度等级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检测次数1次/年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，提供检定报告</w:t>
            </w:r>
          </w:p>
        </w:tc>
      </w:tr>
      <w:tr w14:paraId="705AC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650A89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2.3.8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6EC4E0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玻璃量器</w:t>
            </w:r>
          </w:p>
        </w:tc>
      </w:tr>
      <w:tr w14:paraId="68EFA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4DFD86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2.3.8.1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39F994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：《JJG 196-2006常用玻璃量器检定规程》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检测内容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包括但不限于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标称容量、扩展不确定度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1个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设备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测3个点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检测次数1次/年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，提供检定报告</w:t>
            </w:r>
          </w:p>
        </w:tc>
      </w:tr>
      <w:tr w14:paraId="4E952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6B1758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2.3.9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495D5A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电导率仪</w:t>
            </w:r>
          </w:p>
        </w:tc>
      </w:tr>
      <w:tr w14:paraId="79AD1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40816C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2.3.9.1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159780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《JJG 376-2007电导率仪检定规程》，检测内容包括但不限于电子单元重复性、电子单元引用误差、电导池常数示值误差、仪器引用误差及仪器重复性，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Hans" w:bidi="ar-SA"/>
              </w:rPr>
              <w:t>检测次数1次/年</w:t>
            </w: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，提供检定报告。</w:t>
            </w:r>
          </w:p>
        </w:tc>
      </w:tr>
      <w:tr w14:paraId="681DE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2FCD4E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2.3.10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3C11D5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textAlignment w:val="auto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  <w:t>游标卡尺</w:t>
            </w:r>
          </w:p>
        </w:tc>
      </w:tr>
      <w:tr w14:paraId="14EE7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6" w:type="pct"/>
            <w:shd w:val="clear" w:color="auto" w:fill="auto"/>
            <w:vAlign w:val="top"/>
          </w:tcPr>
          <w:p w14:paraId="3E9B5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2.3.10.1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087AC522">
            <w:pPr>
              <w:widowControl/>
              <w:ind w:right="55" w:rightChars="26"/>
              <w:jc w:val="left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检定依据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《JJG 30-2012通用卡尺检定规程》，检测内容包括但不限于测量面的平面度、刀口内量爪平行度、零值误差及示值误差，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eastAsia="zh-Hans"/>
              </w:rPr>
              <w:t>检测次数</w:t>
            </w:r>
            <w:r>
              <w:rPr>
                <w:color w:val="auto"/>
                <w:spacing w:val="-4"/>
                <w:sz w:val="24"/>
                <w:szCs w:val="24"/>
                <w:lang w:eastAsia="zh-Hans"/>
              </w:rPr>
              <w:t>1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eastAsia="zh-Hans"/>
              </w:rPr>
              <w:t>次</w:t>
            </w:r>
            <w:r>
              <w:rPr>
                <w:color w:val="auto"/>
                <w:spacing w:val="-4"/>
                <w:sz w:val="24"/>
                <w:szCs w:val="24"/>
                <w:lang w:eastAsia="zh-Hans"/>
              </w:rPr>
              <w:t>/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eastAsia="zh-Hans"/>
              </w:rPr>
              <w:t>年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提供检定报告。</w:t>
            </w:r>
          </w:p>
        </w:tc>
      </w:tr>
      <w:tr w14:paraId="19CDC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8" w:hRule="atLeast"/>
        </w:trPr>
        <w:tc>
          <w:tcPr>
            <w:tcW w:w="526" w:type="pct"/>
            <w:shd w:val="clear" w:color="auto" w:fill="auto"/>
            <w:vAlign w:val="top"/>
          </w:tcPr>
          <w:p w14:paraId="663427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2.4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2FBA9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ind w:left="0" w:right="0" w:rightChars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本次需检定设备清单如下，供应商需在报名文件里响应所能提供的检测服务项目及证书类型，标明检测项目所在能力附表的页码：</w:t>
            </w:r>
          </w:p>
          <w:p w14:paraId="76D7CD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ind w:left="0" w:right="0" w:rightChars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  <w:tbl>
            <w:tblPr>
              <w:tblStyle w:val="5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0"/>
              <w:gridCol w:w="2400"/>
              <w:gridCol w:w="941"/>
              <w:gridCol w:w="941"/>
              <w:gridCol w:w="1009"/>
              <w:gridCol w:w="1282"/>
              <w:gridCol w:w="1282"/>
            </w:tblGrid>
            <w:tr w14:paraId="607E230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5390EFC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  <w:t>序号</w:t>
                  </w:r>
                </w:p>
              </w:tc>
              <w:tc>
                <w:tcPr>
                  <w:tcW w:w="2400" w:type="dxa"/>
                </w:tcPr>
                <w:p w14:paraId="1C9CDFAB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  <w:t>设备名称</w:t>
                  </w:r>
                </w:p>
              </w:tc>
              <w:tc>
                <w:tcPr>
                  <w:tcW w:w="941" w:type="dxa"/>
                </w:tcPr>
                <w:p w14:paraId="45986EEA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  <w:t>滨江</w:t>
                  </w:r>
                </w:p>
              </w:tc>
              <w:tc>
                <w:tcPr>
                  <w:tcW w:w="941" w:type="dxa"/>
                </w:tcPr>
                <w:p w14:paraId="5EC9A986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  <w:t>湖滨</w:t>
                  </w:r>
                </w:p>
              </w:tc>
              <w:tc>
                <w:tcPr>
                  <w:tcW w:w="1009" w:type="dxa"/>
                </w:tcPr>
                <w:p w14:paraId="3177482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  <w:t>莫干山</w:t>
                  </w:r>
                </w:p>
              </w:tc>
              <w:tc>
                <w:tcPr>
                  <w:tcW w:w="1282" w:type="dxa"/>
                </w:tcPr>
                <w:p w14:paraId="6D6E87D0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  <w:t>合计</w:t>
                  </w:r>
                </w:p>
              </w:tc>
              <w:tc>
                <w:tcPr>
                  <w:tcW w:w="1282" w:type="dxa"/>
                </w:tcPr>
                <w:p w14:paraId="47342D5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  <w:t>报告类型</w:t>
                  </w:r>
                </w:p>
              </w:tc>
            </w:tr>
            <w:tr w14:paraId="29490C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4B688937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2400" w:type="dxa"/>
                  <w:vAlign w:val="center"/>
                </w:tcPr>
                <w:p w14:paraId="345AB99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医用超声诊断仪</w:t>
                  </w:r>
                </w:p>
              </w:tc>
              <w:tc>
                <w:tcPr>
                  <w:tcW w:w="941" w:type="dxa"/>
                  <w:vAlign w:val="center"/>
                </w:tcPr>
                <w:p w14:paraId="5D08E100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55</w:t>
                  </w:r>
                </w:p>
              </w:tc>
              <w:tc>
                <w:tcPr>
                  <w:tcW w:w="941" w:type="dxa"/>
                  <w:vAlign w:val="center"/>
                </w:tcPr>
                <w:p w14:paraId="1A523770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12</w:t>
                  </w:r>
                </w:p>
              </w:tc>
              <w:tc>
                <w:tcPr>
                  <w:tcW w:w="1009" w:type="dxa"/>
                  <w:vAlign w:val="center"/>
                </w:tcPr>
                <w:p w14:paraId="2DF468BB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17</w:t>
                  </w:r>
                </w:p>
              </w:tc>
              <w:tc>
                <w:tcPr>
                  <w:tcW w:w="1282" w:type="dxa"/>
                  <w:vAlign w:val="center"/>
                </w:tcPr>
                <w:p w14:paraId="5170C7A7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84</w:t>
                  </w:r>
                </w:p>
              </w:tc>
              <w:tc>
                <w:tcPr>
                  <w:tcW w:w="1282" w:type="dxa"/>
                  <w:vMerge w:val="restart"/>
                </w:tcPr>
                <w:p w14:paraId="6A5636B3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  <w:p w14:paraId="1F92A2B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  <w:p w14:paraId="0EC82A9E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  <w:p w14:paraId="121EC2E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  <w:p w14:paraId="598B1E0B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检定</w:t>
                  </w:r>
                </w:p>
              </w:tc>
            </w:tr>
            <w:tr w14:paraId="27D0900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5EF3AD97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2400" w:type="dxa"/>
                  <w:vAlign w:val="center"/>
                </w:tcPr>
                <w:p w14:paraId="2AED9A39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电子天平</w:t>
                  </w:r>
                </w:p>
              </w:tc>
              <w:tc>
                <w:tcPr>
                  <w:tcW w:w="941" w:type="dxa"/>
                  <w:vAlign w:val="center"/>
                </w:tcPr>
                <w:p w14:paraId="25B4AC4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21</w:t>
                  </w:r>
                </w:p>
              </w:tc>
              <w:tc>
                <w:tcPr>
                  <w:tcW w:w="941" w:type="dxa"/>
                  <w:vAlign w:val="center"/>
                </w:tcPr>
                <w:p w14:paraId="57FDDC8E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11</w:t>
                  </w:r>
                </w:p>
              </w:tc>
              <w:tc>
                <w:tcPr>
                  <w:tcW w:w="1009" w:type="dxa"/>
                  <w:vAlign w:val="center"/>
                </w:tcPr>
                <w:p w14:paraId="52A380A5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7</w:t>
                  </w:r>
                </w:p>
              </w:tc>
              <w:tc>
                <w:tcPr>
                  <w:tcW w:w="1282" w:type="dxa"/>
                  <w:vAlign w:val="center"/>
                </w:tcPr>
                <w:p w14:paraId="62750879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39</w:t>
                  </w:r>
                </w:p>
              </w:tc>
              <w:tc>
                <w:tcPr>
                  <w:tcW w:w="1282" w:type="dxa"/>
                  <w:vMerge w:val="continue"/>
                </w:tcPr>
                <w:p w14:paraId="2389DB2B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  <w:tr w14:paraId="0970A9F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30DCA08E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2400" w:type="dxa"/>
                  <w:vAlign w:val="center"/>
                </w:tcPr>
                <w:p w14:paraId="207B948A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电子秤</w:t>
                  </w:r>
                </w:p>
              </w:tc>
              <w:tc>
                <w:tcPr>
                  <w:tcW w:w="941" w:type="dxa"/>
                  <w:vAlign w:val="center"/>
                </w:tcPr>
                <w:p w14:paraId="5D39A9F9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91</w:t>
                  </w:r>
                </w:p>
              </w:tc>
              <w:tc>
                <w:tcPr>
                  <w:tcW w:w="941" w:type="dxa"/>
                  <w:vAlign w:val="center"/>
                </w:tcPr>
                <w:p w14:paraId="6AF926C0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22</w:t>
                  </w:r>
                </w:p>
              </w:tc>
              <w:tc>
                <w:tcPr>
                  <w:tcW w:w="1009" w:type="dxa"/>
                  <w:vAlign w:val="center"/>
                </w:tcPr>
                <w:p w14:paraId="7EF40DFC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58</w:t>
                  </w:r>
                </w:p>
              </w:tc>
              <w:tc>
                <w:tcPr>
                  <w:tcW w:w="1282" w:type="dxa"/>
                  <w:vAlign w:val="center"/>
                </w:tcPr>
                <w:p w14:paraId="5133E2E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171</w:t>
                  </w:r>
                </w:p>
              </w:tc>
              <w:tc>
                <w:tcPr>
                  <w:tcW w:w="1282" w:type="dxa"/>
                  <w:vMerge w:val="continue"/>
                </w:tcPr>
                <w:p w14:paraId="497765E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  <w:tr w14:paraId="2882751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509535AA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4</w:t>
                  </w:r>
                </w:p>
              </w:tc>
              <w:tc>
                <w:tcPr>
                  <w:tcW w:w="2400" w:type="dxa"/>
                  <w:vAlign w:val="center"/>
                </w:tcPr>
                <w:p w14:paraId="71629E66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酸度计</w:t>
                  </w:r>
                </w:p>
              </w:tc>
              <w:tc>
                <w:tcPr>
                  <w:tcW w:w="941" w:type="dxa"/>
                  <w:vAlign w:val="center"/>
                </w:tcPr>
                <w:p w14:paraId="0FF4DEE2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0</w:t>
                  </w:r>
                </w:p>
              </w:tc>
              <w:tc>
                <w:tcPr>
                  <w:tcW w:w="941" w:type="dxa"/>
                  <w:vAlign w:val="center"/>
                </w:tcPr>
                <w:p w14:paraId="7E408632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1009" w:type="dxa"/>
                  <w:vAlign w:val="center"/>
                </w:tcPr>
                <w:p w14:paraId="43634896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0</w:t>
                  </w:r>
                </w:p>
              </w:tc>
              <w:tc>
                <w:tcPr>
                  <w:tcW w:w="1282" w:type="dxa"/>
                  <w:vAlign w:val="center"/>
                </w:tcPr>
                <w:p w14:paraId="117C8BD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1282" w:type="dxa"/>
                  <w:vMerge w:val="continue"/>
                </w:tcPr>
                <w:p w14:paraId="694F4A15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  <w:tr w14:paraId="1542B85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06C932AF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5</w:t>
                  </w:r>
                </w:p>
              </w:tc>
              <w:tc>
                <w:tcPr>
                  <w:tcW w:w="2400" w:type="dxa"/>
                  <w:vAlign w:val="center"/>
                </w:tcPr>
                <w:p w14:paraId="27D1558E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紫外可见分光光度计</w:t>
                  </w:r>
                </w:p>
              </w:tc>
              <w:tc>
                <w:tcPr>
                  <w:tcW w:w="941" w:type="dxa"/>
                  <w:vAlign w:val="center"/>
                </w:tcPr>
                <w:p w14:paraId="47B29007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0</w:t>
                  </w:r>
                </w:p>
              </w:tc>
              <w:tc>
                <w:tcPr>
                  <w:tcW w:w="941" w:type="dxa"/>
                  <w:vAlign w:val="center"/>
                </w:tcPr>
                <w:p w14:paraId="4FE885F1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1009" w:type="dxa"/>
                  <w:vAlign w:val="center"/>
                </w:tcPr>
                <w:p w14:paraId="215EBB83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0</w:t>
                  </w:r>
                </w:p>
              </w:tc>
              <w:tc>
                <w:tcPr>
                  <w:tcW w:w="1282" w:type="dxa"/>
                  <w:vAlign w:val="center"/>
                </w:tcPr>
                <w:p w14:paraId="336E83C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1282" w:type="dxa"/>
                  <w:vMerge w:val="continue"/>
                </w:tcPr>
                <w:p w14:paraId="0D76FD07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  <w:tr w14:paraId="1B91CF4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4FC4391A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6</w:t>
                  </w:r>
                </w:p>
              </w:tc>
              <w:tc>
                <w:tcPr>
                  <w:tcW w:w="2400" w:type="dxa"/>
                  <w:vAlign w:val="center"/>
                </w:tcPr>
                <w:p w14:paraId="3B3834AC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砝码</w:t>
                  </w:r>
                </w:p>
              </w:tc>
              <w:tc>
                <w:tcPr>
                  <w:tcW w:w="941" w:type="dxa"/>
                  <w:vAlign w:val="center"/>
                </w:tcPr>
                <w:p w14:paraId="7F549BE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941" w:type="dxa"/>
                  <w:vAlign w:val="center"/>
                </w:tcPr>
                <w:p w14:paraId="1563E7B7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5</w:t>
                  </w:r>
                </w:p>
              </w:tc>
              <w:tc>
                <w:tcPr>
                  <w:tcW w:w="1009" w:type="dxa"/>
                  <w:vAlign w:val="center"/>
                </w:tcPr>
                <w:p w14:paraId="15E19D05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1282" w:type="dxa"/>
                  <w:vAlign w:val="center"/>
                </w:tcPr>
                <w:p w14:paraId="646CD33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9</w:t>
                  </w:r>
                </w:p>
              </w:tc>
              <w:tc>
                <w:tcPr>
                  <w:tcW w:w="1282" w:type="dxa"/>
                  <w:vMerge w:val="continue"/>
                </w:tcPr>
                <w:p w14:paraId="15FC4D71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  <w:tr w14:paraId="1189FE8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750" w:type="dxa"/>
                </w:tcPr>
                <w:p w14:paraId="469A4AFB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7</w:t>
                  </w:r>
                </w:p>
              </w:tc>
              <w:tc>
                <w:tcPr>
                  <w:tcW w:w="2400" w:type="dxa"/>
                  <w:vAlign w:val="center"/>
                </w:tcPr>
                <w:p w14:paraId="75520FD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玻璃量器</w:t>
                  </w:r>
                </w:p>
              </w:tc>
              <w:tc>
                <w:tcPr>
                  <w:tcW w:w="941" w:type="dxa"/>
                  <w:vAlign w:val="center"/>
                </w:tcPr>
                <w:p w14:paraId="15413881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0</w:t>
                  </w:r>
                </w:p>
              </w:tc>
              <w:tc>
                <w:tcPr>
                  <w:tcW w:w="941" w:type="dxa"/>
                  <w:vAlign w:val="center"/>
                </w:tcPr>
                <w:p w14:paraId="12D0794B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167</w:t>
                  </w:r>
                </w:p>
              </w:tc>
              <w:tc>
                <w:tcPr>
                  <w:tcW w:w="1009" w:type="dxa"/>
                  <w:vAlign w:val="center"/>
                </w:tcPr>
                <w:p w14:paraId="0B0FEB6C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0</w:t>
                  </w:r>
                </w:p>
              </w:tc>
              <w:tc>
                <w:tcPr>
                  <w:tcW w:w="1282" w:type="dxa"/>
                  <w:vAlign w:val="center"/>
                </w:tcPr>
                <w:p w14:paraId="1633317B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167</w:t>
                  </w:r>
                </w:p>
              </w:tc>
              <w:tc>
                <w:tcPr>
                  <w:tcW w:w="1282" w:type="dxa"/>
                  <w:vMerge w:val="continue"/>
                </w:tcPr>
                <w:p w14:paraId="336B1C3A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  <w:tr w14:paraId="24A40E1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6519E4E1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8</w:t>
                  </w:r>
                </w:p>
              </w:tc>
              <w:tc>
                <w:tcPr>
                  <w:tcW w:w="2400" w:type="dxa"/>
                  <w:vAlign w:val="center"/>
                </w:tcPr>
                <w:p w14:paraId="2528C00C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电导率仪</w:t>
                  </w:r>
                </w:p>
              </w:tc>
              <w:tc>
                <w:tcPr>
                  <w:tcW w:w="941" w:type="dxa"/>
                  <w:vAlign w:val="center"/>
                </w:tcPr>
                <w:p w14:paraId="044B3EBF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4</w:t>
                  </w:r>
                </w:p>
              </w:tc>
              <w:tc>
                <w:tcPr>
                  <w:tcW w:w="941" w:type="dxa"/>
                  <w:vAlign w:val="center"/>
                </w:tcPr>
                <w:p w14:paraId="60611719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1009" w:type="dxa"/>
                  <w:vAlign w:val="center"/>
                </w:tcPr>
                <w:p w14:paraId="5A6FAACF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1282" w:type="dxa"/>
                  <w:vAlign w:val="center"/>
                </w:tcPr>
                <w:p w14:paraId="0890ADA4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7</w:t>
                  </w:r>
                </w:p>
              </w:tc>
              <w:tc>
                <w:tcPr>
                  <w:tcW w:w="1282" w:type="dxa"/>
                  <w:vMerge w:val="continue"/>
                </w:tcPr>
                <w:p w14:paraId="3902BAF3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  <w:tr w14:paraId="7B59AF2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7C4D1CD7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9</w:t>
                  </w:r>
                </w:p>
              </w:tc>
              <w:tc>
                <w:tcPr>
                  <w:tcW w:w="2400" w:type="dxa"/>
                  <w:vAlign w:val="center"/>
                </w:tcPr>
                <w:p w14:paraId="7793B5A2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游标卡尺</w:t>
                  </w:r>
                </w:p>
              </w:tc>
              <w:tc>
                <w:tcPr>
                  <w:tcW w:w="941" w:type="dxa"/>
                  <w:vAlign w:val="center"/>
                </w:tcPr>
                <w:p w14:paraId="2F03514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941" w:type="dxa"/>
                  <w:vAlign w:val="center"/>
                </w:tcPr>
                <w:p w14:paraId="74598B46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1009" w:type="dxa"/>
                  <w:vAlign w:val="center"/>
                </w:tcPr>
                <w:p w14:paraId="036EF8A3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1282" w:type="dxa"/>
                  <w:vAlign w:val="center"/>
                </w:tcPr>
                <w:p w14:paraId="5FE2D254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5</w:t>
                  </w:r>
                </w:p>
              </w:tc>
              <w:tc>
                <w:tcPr>
                  <w:tcW w:w="1282" w:type="dxa"/>
                  <w:vMerge w:val="continue"/>
                </w:tcPr>
                <w:p w14:paraId="79B8B159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  <w:tr w14:paraId="4BDCFDD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50" w:type="dxa"/>
                </w:tcPr>
                <w:p w14:paraId="41626F7A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  <w:tc>
                <w:tcPr>
                  <w:tcW w:w="2400" w:type="dxa"/>
                  <w:vAlign w:val="center"/>
                </w:tcPr>
                <w:p w14:paraId="453C3CD4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合计</w:t>
                  </w:r>
                </w:p>
              </w:tc>
              <w:tc>
                <w:tcPr>
                  <w:tcW w:w="941" w:type="dxa"/>
                </w:tcPr>
                <w:p w14:paraId="1357EDFB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176</w:t>
                  </w:r>
                </w:p>
              </w:tc>
              <w:tc>
                <w:tcPr>
                  <w:tcW w:w="941" w:type="dxa"/>
                </w:tcPr>
                <w:p w14:paraId="1407777D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221</w:t>
                  </w:r>
                </w:p>
              </w:tc>
              <w:tc>
                <w:tcPr>
                  <w:tcW w:w="1009" w:type="dxa"/>
                </w:tcPr>
                <w:p w14:paraId="254A72B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default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87</w:t>
                  </w:r>
                </w:p>
              </w:tc>
              <w:tc>
                <w:tcPr>
                  <w:tcW w:w="1282" w:type="dxa"/>
                  <w:vAlign w:val="center"/>
                </w:tcPr>
                <w:p w14:paraId="08C93C75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484</w:t>
                  </w:r>
                </w:p>
              </w:tc>
              <w:tc>
                <w:tcPr>
                  <w:tcW w:w="1282" w:type="dxa"/>
                </w:tcPr>
                <w:p w14:paraId="653B5758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ind w:left="0" w:right="0" w:rightChars="0"/>
                    <w:jc w:val="center"/>
                    <w:textAlignment w:val="center"/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</w:pPr>
                </w:p>
              </w:tc>
            </w:tr>
          </w:tbl>
          <w:p w14:paraId="10105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ind w:left="0" w:right="0" w:rightChars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  <w:p w14:paraId="29BF1EED">
            <w:pPr>
              <w:widowControl/>
              <w:ind w:right="55" w:rightChars="26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2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47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26" w:type="pct"/>
          </w:tcPr>
          <w:p w14:paraId="7881C56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473" w:type="pct"/>
            <w:gridSpan w:val="2"/>
            <w:vAlign w:val="top"/>
          </w:tcPr>
          <w:p w14:paraId="753E25B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提供</w:t>
            </w:r>
            <w:r>
              <w:rPr>
                <w:rFonts w:hint="eastAsia"/>
                <w:color w:val="auto"/>
                <w:sz w:val="24"/>
                <w:szCs w:val="24"/>
                <w:lang w:eastAsia="zh-Hans"/>
              </w:rPr>
              <w:t>市级及以上</w:t>
            </w:r>
            <w:r>
              <w:rPr>
                <w:rFonts w:hint="eastAsia" w:asciiTheme="minorEastAsia" w:hAnsiTheme="minorEastAsia"/>
                <w:color w:val="auto"/>
                <w:spacing w:val="-6"/>
                <w:sz w:val="24"/>
                <w:szCs w:val="24"/>
              </w:rPr>
              <w:t>市场监管部门批准的检验检测机构资质认定</w:t>
            </w:r>
            <w:r>
              <w:rPr>
                <w:rFonts w:hint="eastAsia" w:asciiTheme="minorEastAsia" w:hAnsiTheme="minorEastAsia"/>
                <w:color w:val="auto"/>
                <w:spacing w:val="-6"/>
                <w:sz w:val="24"/>
                <w:szCs w:val="24"/>
                <w:lang w:val="en-US" w:eastAsia="zh-CN"/>
              </w:rPr>
              <w:t>证书、检测仪器的校准或检定证书、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项目检测人员的授权证书及社保证明；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26" w:type="pct"/>
          </w:tcPr>
          <w:p w14:paraId="431E824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473" w:type="pct"/>
            <w:gridSpan w:val="2"/>
            <w:vAlign w:val="top"/>
          </w:tcPr>
          <w:p w14:paraId="235B5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供应商在检测完毕起10个工作日内为</w:t>
            </w:r>
            <w:r>
              <w:rPr>
                <w:rFonts w:hint="eastAsia"/>
                <w:color w:val="auto"/>
                <w:sz w:val="24"/>
                <w:szCs w:val="24"/>
                <w:lang w:val="en-US" w:eastAsia="zh-Hans"/>
              </w:rPr>
              <w:t>医院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出具检测报告。若有不合格项目需要复检，经</w:t>
            </w:r>
            <w:r>
              <w:rPr>
                <w:rFonts w:hint="eastAsia"/>
                <w:color w:val="auto"/>
                <w:sz w:val="24"/>
                <w:szCs w:val="24"/>
                <w:lang w:val="en-US" w:eastAsia="zh-Hans"/>
              </w:rPr>
              <w:t>医院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自行调试，供应商须在接到</w:t>
            </w:r>
            <w:r>
              <w:rPr>
                <w:rFonts w:hint="eastAsia"/>
                <w:color w:val="auto"/>
                <w:sz w:val="24"/>
                <w:szCs w:val="24"/>
                <w:lang w:val="en-US" w:eastAsia="zh-Hans"/>
              </w:rPr>
              <w:t>医院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通知后3日内到现场复检，直到检测合格为止，并在10个工作日内提供检测报告，且不重复收费；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6" w:type="pct"/>
          </w:tcPr>
          <w:p w14:paraId="5E15554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473" w:type="pct"/>
            <w:gridSpan w:val="2"/>
            <w:vAlign w:val="top"/>
          </w:tcPr>
          <w:p w14:paraId="7BD2D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供应商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同时提供纸质报告和电子报告</w:t>
            </w:r>
            <w:r>
              <w:rPr>
                <w:color w:val="auto"/>
                <w:spacing w:val="-4"/>
                <w:sz w:val="24"/>
                <w:szCs w:val="24"/>
              </w:rPr>
              <w:t>，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纸质报告不少于2份，</w:t>
            </w:r>
            <w:r>
              <w:rPr>
                <w:color w:val="auto"/>
                <w:spacing w:val="-4"/>
                <w:sz w:val="24"/>
                <w:szCs w:val="24"/>
              </w:rPr>
              <w:t>提交方式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为</w:t>
            </w:r>
            <w:r>
              <w:rPr>
                <w:color w:val="auto"/>
                <w:spacing w:val="-4"/>
                <w:sz w:val="24"/>
                <w:szCs w:val="24"/>
              </w:rPr>
              <w:t>上门投送或顺丰快递；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6" w:type="pct"/>
          </w:tcPr>
          <w:p w14:paraId="1341C80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473" w:type="pct"/>
            <w:gridSpan w:val="2"/>
            <w:vAlign w:val="top"/>
          </w:tcPr>
          <w:p w14:paraId="283B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color w:val="auto"/>
                <w:spacing w:val="-4"/>
                <w:sz w:val="24"/>
                <w:szCs w:val="24"/>
              </w:rPr>
              <w:t>计量检测服务产生的其他费用由供应商承担，包括税费、快递费、报告费、差旅费、产生垃圾清运费、停车费、交通费等；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6" w:type="pct"/>
          </w:tcPr>
          <w:p w14:paraId="5C17376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3.5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2B5CD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费用按实际检测数量结算；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6" w:type="pct"/>
          </w:tcPr>
          <w:p w14:paraId="7D39AB2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3.6</w:t>
            </w:r>
          </w:p>
        </w:tc>
        <w:tc>
          <w:tcPr>
            <w:tcW w:w="4473" w:type="pct"/>
            <w:gridSpan w:val="2"/>
            <w:shd w:val="clear" w:color="auto" w:fill="auto"/>
            <w:vAlign w:val="top"/>
          </w:tcPr>
          <w:p w14:paraId="48680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付款方式：甲方在收到乙方所有检测报告，且在乙方提供发票后的60个工作日内付清全款。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14A40EF"/>
    <w:rsid w:val="046B27A3"/>
    <w:rsid w:val="06CC6306"/>
    <w:rsid w:val="07755A9D"/>
    <w:rsid w:val="07A70F85"/>
    <w:rsid w:val="095D5673"/>
    <w:rsid w:val="099077F7"/>
    <w:rsid w:val="0A0845D2"/>
    <w:rsid w:val="0B4A109D"/>
    <w:rsid w:val="0E4C2EAC"/>
    <w:rsid w:val="0FB77316"/>
    <w:rsid w:val="103D79C9"/>
    <w:rsid w:val="13142634"/>
    <w:rsid w:val="17941799"/>
    <w:rsid w:val="18AD3633"/>
    <w:rsid w:val="18EA4B05"/>
    <w:rsid w:val="1ADC4941"/>
    <w:rsid w:val="1C67088B"/>
    <w:rsid w:val="21122A96"/>
    <w:rsid w:val="2194092A"/>
    <w:rsid w:val="22077134"/>
    <w:rsid w:val="228C104B"/>
    <w:rsid w:val="23E11D66"/>
    <w:rsid w:val="24262DDA"/>
    <w:rsid w:val="24303C58"/>
    <w:rsid w:val="27027B2E"/>
    <w:rsid w:val="27D06A95"/>
    <w:rsid w:val="28331C1B"/>
    <w:rsid w:val="28392675"/>
    <w:rsid w:val="29581C87"/>
    <w:rsid w:val="2C1C74C7"/>
    <w:rsid w:val="2C373D7A"/>
    <w:rsid w:val="2C816991"/>
    <w:rsid w:val="2EE34571"/>
    <w:rsid w:val="30257375"/>
    <w:rsid w:val="311367F6"/>
    <w:rsid w:val="3185777C"/>
    <w:rsid w:val="322E3EED"/>
    <w:rsid w:val="34CE319F"/>
    <w:rsid w:val="357C7EED"/>
    <w:rsid w:val="37C62A56"/>
    <w:rsid w:val="38A03D8B"/>
    <w:rsid w:val="397F500E"/>
    <w:rsid w:val="39F33306"/>
    <w:rsid w:val="3AA31C0A"/>
    <w:rsid w:val="3AB5320A"/>
    <w:rsid w:val="3BD92404"/>
    <w:rsid w:val="40624146"/>
    <w:rsid w:val="446C4B9D"/>
    <w:rsid w:val="449A2CFC"/>
    <w:rsid w:val="454B5836"/>
    <w:rsid w:val="45794238"/>
    <w:rsid w:val="45AE47EA"/>
    <w:rsid w:val="47613FA5"/>
    <w:rsid w:val="497F0BBF"/>
    <w:rsid w:val="4AFB588F"/>
    <w:rsid w:val="4D363751"/>
    <w:rsid w:val="4DF07F01"/>
    <w:rsid w:val="4EDF1ABC"/>
    <w:rsid w:val="51E952C3"/>
    <w:rsid w:val="52E11882"/>
    <w:rsid w:val="53427C04"/>
    <w:rsid w:val="56923E00"/>
    <w:rsid w:val="5B4F43E9"/>
    <w:rsid w:val="5BB403DC"/>
    <w:rsid w:val="5E007C1C"/>
    <w:rsid w:val="5EFD415C"/>
    <w:rsid w:val="61386D43"/>
    <w:rsid w:val="61646F94"/>
    <w:rsid w:val="625B620F"/>
    <w:rsid w:val="65257F68"/>
    <w:rsid w:val="67212ADF"/>
    <w:rsid w:val="67240B7A"/>
    <w:rsid w:val="68570D81"/>
    <w:rsid w:val="68710C67"/>
    <w:rsid w:val="69DB0917"/>
    <w:rsid w:val="6DB8732C"/>
    <w:rsid w:val="72901CD2"/>
    <w:rsid w:val="76064D85"/>
    <w:rsid w:val="77D20625"/>
    <w:rsid w:val="7B28549C"/>
    <w:rsid w:val="7B41219D"/>
    <w:rsid w:val="7C6B69CB"/>
    <w:rsid w:val="7D1A2FE3"/>
    <w:rsid w:val="7D1D178D"/>
    <w:rsid w:val="7DC9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1681</Words>
  <Characters>1939</Characters>
  <Lines>0</Lines>
  <Paragraphs>0</Paragraphs>
  <TotalTime>4</TotalTime>
  <ScaleCrop>false</ScaleCrop>
  <LinksUpToDate>false</LinksUpToDate>
  <CharactersWithSpaces>1980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2025-05-23T07:28:00Z</cp:lastPrinted>
  <dcterms:modified xsi:type="dcterms:W3CDTF">2026-04-28T08:32:34Z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E6BAE9A8BF1E4705809C8E52B1770404_13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