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1796E0">
      <w:pPr>
        <w:jc w:val="center"/>
        <w:rPr>
          <w:rFonts w:ascii="宋体" w:hAnsi="宋体" w:cs="宋体"/>
          <w:b/>
          <w:sz w:val="36"/>
          <w:szCs w:val="36"/>
          <w:lang w:bidi="ar"/>
        </w:rPr>
      </w:pPr>
      <w:bookmarkStart w:id="0" w:name="_GoBack"/>
      <w:bookmarkEnd w:id="0"/>
      <w:r>
        <w:rPr>
          <w:rFonts w:hint="eastAsia" w:ascii="宋体" w:hAnsi="宋体" w:cs="宋体"/>
          <w:b/>
          <w:sz w:val="36"/>
          <w:szCs w:val="36"/>
          <w:lang w:bidi="ar"/>
        </w:rPr>
        <w:t>采购需求</w:t>
      </w:r>
    </w:p>
    <w:p w14:paraId="488D861D">
      <w:pPr>
        <w:keepNext/>
        <w:keepLines/>
        <w:numPr>
          <w:ilvl w:val="0"/>
          <w:numId w:val="1"/>
        </w:numPr>
        <w:adjustRightInd w:val="0"/>
        <w:snapToGrid w:val="0"/>
        <w:spacing w:before="312" w:beforeLines="100" w:after="312" w:afterLines="100" w:line="460" w:lineRule="exact"/>
        <w:ind w:firstLine="0"/>
        <w:jc w:val="left"/>
        <w:outlineLvl w:val="1"/>
        <w:rPr>
          <w:rFonts w:ascii="宋体" w:hAnsi="宋体" w:eastAsia="宋体" w:cs="宋体"/>
          <w:b/>
          <w:bCs/>
          <w:sz w:val="28"/>
          <w:szCs w:val="28"/>
        </w:rPr>
      </w:pPr>
      <w:r>
        <w:rPr>
          <w:rFonts w:hint="eastAsia" w:ascii="宋体" w:hAnsi="宋体" w:eastAsia="宋体" w:cs="宋体"/>
          <w:b/>
          <w:bCs/>
          <w:sz w:val="28"/>
          <w:szCs w:val="28"/>
        </w:rPr>
        <w:t>采购内容</w:t>
      </w:r>
    </w:p>
    <w:p w14:paraId="0222B142">
      <w:pPr>
        <w:ind w:firstLine="440" w:firstLineChars="200"/>
        <w:rPr>
          <w:rFonts w:cs="宋体" w:asciiTheme="minorEastAsia" w:hAnsiTheme="minorEastAsia"/>
          <w:color w:val="000000"/>
          <w:kern w:val="0"/>
          <w:sz w:val="22"/>
          <w:szCs w:val="22"/>
        </w:rPr>
      </w:pPr>
      <w:r>
        <w:rPr>
          <w:rFonts w:hint="eastAsia" w:cs="宋体" w:asciiTheme="minorEastAsia" w:hAnsiTheme="minorEastAsia"/>
          <w:color w:val="000000"/>
          <w:kern w:val="0"/>
          <w:sz w:val="22"/>
          <w:szCs w:val="22"/>
        </w:rPr>
        <w:t>随着我院病理科全流程信息化及数字化建设推进，特别是全切片扫描仪</w:t>
      </w:r>
      <w:r>
        <w:rPr>
          <w:rFonts w:cs="宋体" w:asciiTheme="minorEastAsia" w:hAnsiTheme="minorEastAsia"/>
          <w:color w:val="000000"/>
          <w:kern w:val="0"/>
          <w:sz w:val="22"/>
          <w:szCs w:val="22"/>
        </w:rPr>
        <w:t>的引入，每日产生海量高分辨率数字切片影像。为切实提升病理诊断效率、服务能力与科研协作水平，</w:t>
      </w:r>
      <w:r>
        <w:rPr>
          <w:rFonts w:hint="eastAsia" w:ascii="MS Mincho" w:hAnsi="MS Mincho" w:eastAsia="MS Mincho" w:cs="MS Mincho"/>
          <w:color w:val="000000"/>
          <w:kern w:val="0"/>
          <w:sz w:val="22"/>
          <w:szCs w:val="22"/>
        </w:rPr>
        <w:t>​</w:t>
      </w:r>
      <w:r>
        <w:rPr>
          <w:rFonts w:hint="eastAsia" w:cs="宋体" w:asciiTheme="minorEastAsia" w:hAnsiTheme="minorEastAsia"/>
          <w:color w:val="000000"/>
          <w:kern w:val="0"/>
          <w:sz w:val="22"/>
          <w:szCs w:val="22"/>
        </w:rPr>
        <w:t>现</w:t>
      </w:r>
      <w:r>
        <w:rPr>
          <w:rFonts w:cs="宋体" w:asciiTheme="minorEastAsia" w:hAnsiTheme="minorEastAsia"/>
          <w:color w:val="000000"/>
          <w:kern w:val="0"/>
          <w:sz w:val="22"/>
          <w:szCs w:val="22"/>
        </w:rPr>
        <w:t>购置</w:t>
      </w:r>
      <w:r>
        <w:rPr>
          <w:rFonts w:hint="eastAsia" w:cs="宋体" w:asciiTheme="minorEastAsia" w:hAnsiTheme="minorEastAsia"/>
          <w:color w:val="000000"/>
          <w:kern w:val="0"/>
          <w:sz w:val="22"/>
          <w:szCs w:val="22"/>
        </w:rPr>
        <w:t>病理数字切片存储设备一套。</w:t>
      </w:r>
    </w:p>
    <w:p w14:paraId="122541E5">
      <w:pPr>
        <w:keepNext/>
        <w:keepLines/>
        <w:numPr>
          <w:ilvl w:val="0"/>
          <w:numId w:val="1"/>
        </w:numPr>
        <w:adjustRightInd w:val="0"/>
        <w:snapToGrid w:val="0"/>
        <w:spacing w:before="312" w:beforeLines="100" w:after="312" w:afterLines="100" w:line="460" w:lineRule="exact"/>
        <w:ind w:firstLine="0"/>
        <w:jc w:val="left"/>
        <w:outlineLvl w:val="1"/>
        <w:rPr>
          <w:rFonts w:ascii="宋体" w:hAnsi="宋体" w:eastAsia="宋体" w:cs="宋体"/>
          <w:kern w:val="0"/>
          <w:sz w:val="22"/>
          <w:szCs w:val="22"/>
          <w14:ligatures w14:val="standardContextual"/>
        </w:rPr>
      </w:pPr>
      <w:r>
        <w:rPr>
          <w:rFonts w:hint="eastAsia" w:ascii="宋体" w:hAnsi="宋体" w:eastAsia="宋体" w:cs="宋体"/>
          <w:b/>
          <w:bCs/>
          <w:sz w:val="28"/>
          <w:szCs w:val="28"/>
        </w:rPr>
        <w:t>设备采购清单</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3325"/>
        <w:gridCol w:w="796"/>
        <w:gridCol w:w="796"/>
        <w:gridCol w:w="2811"/>
      </w:tblGrid>
      <w:tr w14:paraId="47E76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466" w:type="pct"/>
            <w:tcBorders>
              <w:top w:val="single" w:color="auto" w:sz="4" w:space="0"/>
              <w:left w:val="single" w:color="auto" w:sz="4" w:space="0"/>
              <w:bottom w:val="single" w:color="auto" w:sz="4" w:space="0"/>
              <w:right w:val="single" w:color="auto" w:sz="4" w:space="0"/>
            </w:tcBorders>
            <w:noWrap/>
            <w:vAlign w:val="center"/>
          </w:tcPr>
          <w:p w14:paraId="3A5DAF88">
            <w:pPr>
              <w:adjustRightInd w:val="0"/>
              <w:snapToGrid w:val="0"/>
              <w:spacing w:before="93" w:beforeLines="30" w:after="93" w:afterLines="30"/>
              <w:jc w:val="center"/>
              <w:rPr>
                <w:rFonts w:ascii="宋体" w:hAnsi="宋体" w:eastAsia="宋体" w:cs="宋体"/>
                <w:b/>
                <w:bCs/>
                <w:kern w:val="0"/>
                <w:sz w:val="24"/>
                <w14:ligatures w14:val="standardContextual"/>
              </w:rPr>
            </w:pPr>
            <w:r>
              <w:rPr>
                <w:rFonts w:hint="eastAsia" w:ascii="宋体" w:hAnsi="宋体" w:eastAsia="宋体" w:cs="宋体"/>
                <w:b/>
                <w:bCs/>
                <w:kern w:val="0"/>
                <w:sz w:val="24"/>
                <w14:ligatures w14:val="standardContextual"/>
              </w:rPr>
              <w:t>序号</w:t>
            </w:r>
          </w:p>
        </w:tc>
        <w:tc>
          <w:tcPr>
            <w:tcW w:w="1951" w:type="pct"/>
            <w:tcBorders>
              <w:top w:val="single" w:color="auto" w:sz="4" w:space="0"/>
              <w:left w:val="single" w:color="auto" w:sz="4" w:space="0"/>
              <w:bottom w:val="single" w:color="auto" w:sz="4" w:space="0"/>
              <w:right w:val="single" w:color="auto" w:sz="4" w:space="0"/>
            </w:tcBorders>
            <w:noWrap/>
            <w:vAlign w:val="center"/>
          </w:tcPr>
          <w:p w14:paraId="3723B6DE">
            <w:pPr>
              <w:adjustRightInd w:val="0"/>
              <w:snapToGrid w:val="0"/>
              <w:spacing w:before="93" w:beforeLines="30" w:after="93" w:afterLines="30"/>
              <w:jc w:val="center"/>
              <w:rPr>
                <w:rFonts w:ascii="宋体" w:hAnsi="宋体" w:eastAsia="宋体" w:cs="宋体"/>
                <w:b/>
                <w:bCs/>
                <w:kern w:val="0"/>
                <w:sz w:val="24"/>
                <w14:ligatures w14:val="standardContextual"/>
              </w:rPr>
            </w:pPr>
            <w:r>
              <w:rPr>
                <w:rFonts w:hint="eastAsia" w:ascii="宋体" w:hAnsi="宋体" w:eastAsia="宋体" w:cs="宋体"/>
                <w:b/>
                <w:bCs/>
                <w:kern w:val="0"/>
                <w:sz w:val="24"/>
                <w14:ligatures w14:val="standardContextual"/>
              </w:rPr>
              <w:t>名称</w:t>
            </w:r>
          </w:p>
        </w:tc>
        <w:tc>
          <w:tcPr>
            <w:tcW w:w="467" w:type="pct"/>
            <w:tcBorders>
              <w:top w:val="single" w:color="auto" w:sz="4" w:space="0"/>
              <w:left w:val="single" w:color="auto" w:sz="4" w:space="0"/>
              <w:bottom w:val="single" w:color="auto" w:sz="4" w:space="0"/>
              <w:right w:val="single" w:color="auto" w:sz="4" w:space="0"/>
            </w:tcBorders>
            <w:noWrap/>
            <w:vAlign w:val="center"/>
          </w:tcPr>
          <w:p w14:paraId="702B40E8">
            <w:pPr>
              <w:adjustRightInd w:val="0"/>
              <w:snapToGrid w:val="0"/>
              <w:spacing w:before="93" w:beforeLines="30" w:after="93" w:afterLines="30"/>
              <w:jc w:val="center"/>
              <w:rPr>
                <w:rFonts w:ascii="宋体" w:hAnsi="宋体" w:eastAsia="宋体" w:cs="宋体"/>
                <w:b/>
                <w:bCs/>
                <w:kern w:val="0"/>
                <w:sz w:val="24"/>
                <w14:ligatures w14:val="standardContextual"/>
              </w:rPr>
            </w:pPr>
            <w:r>
              <w:rPr>
                <w:rFonts w:hint="eastAsia" w:ascii="宋体" w:hAnsi="宋体" w:eastAsia="宋体" w:cs="宋体"/>
                <w:b/>
                <w:bCs/>
                <w:kern w:val="0"/>
                <w:sz w:val="24"/>
                <w14:ligatures w14:val="standardContextual"/>
              </w:rPr>
              <w:t>数量</w:t>
            </w:r>
          </w:p>
        </w:tc>
        <w:tc>
          <w:tcPr>
            <w:tcW w:w="467" w:type="pct"/>
            <w:tcBorders>
              <w:top w:val="single" w:color="auto" w:sz="4" w:space="0"/>
              <w:left w:val="single" w:color="auto" w:sz="4" w:space="0"/>
              <w:bottom w:val="single" w:color="auto" w:sz="4" w:space="0"/>
              <w:right w:val="single" w:color="auto" w:sz="4" w:space="0"/>
            </w:tcBorders>
            <w:noWrap/>
            <w:vAlign w:val="center"/>
          </w:tcPr>
          <w:p w14:paraId="4665F174">
            <w:pPr>
              <w:adjustRightInd w:val="0"/>
              <w:snapToGrid w:val="0"/>
              <w:spacing w:before="93" w:beforeLines="30" w:after="93" w:afterLines="30"/>
              <w:jc w:val="center"/>
              <w:rPr>
                <w:rFonts w:ascii="宋体" w:hAnsi="宋体" w:eastAsia="宋体" w:cs="宋体"/>
                <w:b/>
                <w:bCs/>
                <w:kern w:val="0"/>
                <w:sz w:val="24"/>
                <w14:ligatures w14:val="standardContextual"/>
              </w:rPr>
            </w:pPr>
            <w:r>
              <w:rPr>
                <w:rFonts w:hint="eastAsia" w:ascii="宋体" w:hAnsi="宋体" w:eastAsia="宋体" w:cs="宋体"/>
                <w:b/>
                <w:bCs/>
                <w:kern w:val="0"/>
                <w:sz w:val="24"/>
                <w14:ligatures w14:val="standardContextual"/>
              </w:rPr>
              <w:t>单位</w:t>
            </w:r>
          </w:p>
        </w:tc>
        <w:tc>
          <w:tcPr>
            <w:tcW w:w="1649" w:type="pct"/>
            <w:tcBorders>
              <w:top w:val="single" w:color="auto" w:sz="4" w:space="0"/>
              <w:left w:val="single" w:color="auto" w:sz="4" w:space="0"/>
              <w:bottom w:val="single" w:color="auto" w:sz="4" w:space="0"/>
              <w:right w:val="single" w:color="auto" w:sz="4" w:space="0"/>
            </w:tcBorders>
            <w:noWrap/>
            <w:vAlign w:val="center"/>
          </w:tcPr>
          <w:p w14:paraId="4FECBBA4">
            <w:pPr>
              <w:adjustRightInd w:val="0"/>
              <w:snapToGrid w:val="0"/>
              <w:spacing w:before="93" w:beforeLines="30" w:after="93" w:afterLines="30"/>
              <w:jc w:val="center"/>
              <w:rPr>
                <w:rFonts w:ascii="宋体" w:hAnsi="宋体" w:eastAsia="宋体" w:cs="宋体"/>
                <w:b/>
                <w:bCs/>
                <w:kern w:val="0"/>
                <w:sz w:val="24"/>
                <w14:ligatures w14:val="standardContextual"/>
              </w:rPr>
            </w:pPr>
            <w:r>
              <w:rPr>
                <w:rFonts w:hint="eastAsia" w:ascii="宋体" w:hAnsi="宋体" w:eastAsia="宋体" w:cs="宋体"/>
                <w:b/>
                <w:bCs/>
                <w:kern w:val="0"/>
                <w:sz w:val="24"/>
                <w14:ligatures w14:val="standardContextual"/>
              </w:rPr>
              <w:t>采购需求</w:t>
            </w:r>
          </w:p>
        </w:tc>
      </w:tr>
      <w:tr w14:paraId="7D6E5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466" w:type="pct"/>
            <w:tcBorders>
              <w:top w:val="single" w:color="auto" w:sz="4" w:space="0"/>
              <w:left w:val="single" w:color="auto" w:sz="4" w:space="0"/>
              <w:bottom w:val="single" w:color="auto" w:sz="4" w:space="0"/>
              <w:right w:val="single" w:color="auto" w:sz="4" w:space="0"/>
            </w:tcBorders>
            <w:noWrap/>
            <w:vAlign w:val="center"/>
          </w:tcPr>
          <w:p w14:paraId="146F086A">
            <w:pPr>
              <w:jc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1</w:t>
            </w:r>
          </w:p>
        </w:tc>
        <w:tc>
          <w:tcPr>
            <w:tcW w:w="1951" w:type="pct"/>
            <w:tcBorders>
              <w:top w:val="single" w:color="auto" w:sz="4" w:space="0"/>
              <w:left w:val="single" w:color="auto" w:sz="4" w:space="0"/>
              <w:bottom w:val="single" w:color="auto" w:sz="4" w:space="0"/>
              <w:right w:val="single" w:color="auto" w:sz="4" w:space="0"/>
            </w:tcBorders>
            <w:vAlign w:val="center"/>
          </w:tcPr>
          <w:p w14:paraId="02A27C6A">
            <w:pPr>
              <w:widowControl/>
              <w:jc w:val="center"/>
              <w:textAlignment w:val="center"/>
              <w:rPr>
                <w:rFonts w:cs="微软雅黑" w:asciiTheme="minorEastAsia" w:hAnsiTheme="minorEastAsia"/>
                <w:color w:val="000000"/>
                <w:kern w:val="0"/>
                <w:sz w:val="22"/>
                <w:szCs w:val="22"/>
                <w:lang w:bidi="ar"/>
              </w:rPr>
            </w:pPr>
            <w:r>
              <w:rPr>
                <w:rFonts w:hint="eastAsia"/>
              </w:rPr>
              <w:t>分布式存储系统</w:t>
            </w:r>
          </w:p>
        </w:tc>
        <w:tc>
          <w:tcPr>
            <w:tcW w:w="467" w:type="pct"/>
            <w:tcBorders>
              <w:top w:val="single" w:color="auto" w:sz="4" w:space="0"/>
              <w:left w:val="single" w:color="auto" w:sz="4" w:space="0"/>
              <w:bottom w:val="single" w:color="auto" w:sz="4" w:space="0"/>
              <w:right w:val="single" w:color="auto" w:sz="4" w:space="0"/>
            </w:tcBorders>
            <w:noWrap/>
            <w:vAlign w:val="center"/>
          </w:tcPr>
          <w:p w14:paraId="2E8BA0F0">
            <w:pPr>
              <w:widowControl/>
              <w:jc w:val="center"/>
              <w:textAlignment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1</w:t>
            </w:r>
          </w:p>
        </w:tc>
        <w:tc>
          <w:tcPr>
            <w:tcW w:w="467" w:type="pct"/>
            <w:tcBorders>
              <w:top w:val="single" w:color="auto" w:sz="4" w:space="0"/>
              <w:left w:val="single" w:color="auto" w:sz="4" w:space="0"/>
              <w:bottom w:val="single" w:color="auto" w:sz="4" w:space="0"/>
              <w:right w:val="single" w:color="auto" w:sz="4" w:space="0"/>
            </w:tcBorders>
            <w:noWrap/>
            <w:vAlign w:val="center"/>
          </w:tcPr>
          <w:p w14:paraId="3DA9D408">
            <w:pPr>
              <w:jc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套</w:t>
            </w:r>
          </w:p>
        </w:tc>
        <w:tc>
          <w:tcPr>
            <w:tcW w:w="1649" w:type="pct"/>
            <w:vMerge w:val="restart"/>
            <w:tcBorders>
              <w:top w:val="single" w:color="auto" w:sz="4" w:space="0"/>
              <w:left w:val="single" w:color="auto" w:sz="4" w:space="0"/>
              <w:right w:val="single" w:color="auto" w:sz="4" w:space="0"/>
            </w:tcBorders>
            <w:noWrap/>
            <w:vAlign w:val="center"/>
          </w:tcPr>
          <w:p w14:paraId="37381445">
            <w:pPr>
              <w:jc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详见详细需求参数</w:t>
            </w:r>
          </w:p>
        </w:tc>
      </w:tr>
      <w:tr w14:paraId="6DAF5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466" w:type="pct"/>
            <w:tcBorders>
              <w:top w:val="single" w:color="auto" w:sz="4" w:space="0"/>
              <w:left w:val="single" w:color="auto" w:sz="4" w:space="0"/>
              <w:bottom w:val="single" w:color="auto" w:sz="4" w:space="0"/>
              <w:right w:val="single" w:color="auto" w:sz="4" w:space="0"/>
            </w:tcBorders>
            <w:noWrap/>
            <w:vAlign w:val="center"/>
          </w:tcPr>
          <w:p w14:paraId="1B06D25B">
            <w:pPr>
              <w:jc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2</w:t>
            </w:r>
          </w:p>
        </w:tc>
        <w:tc>
          <w:tcPr>
            <w:tcW w:w="1951" w:type="pct"/>
            <w:tcBorders>
              <w:top w:val="single" w:color="auto" w:sz="4" w:space="0"/>
              <w:left w:val="single" w:color="auto" w:sz="4" w:space="0"/>
              <w:bottom w:val="single" w:color="auto" w:sz="4" w:space="0"/>
              <w:right w:val="single" w:color="auto" w:sz="4" w:space="0"/>
            </w:tcBorders>
            <w:vAlign w:val="center"/>
          </w:tcPr>
          <w:p w14:paraId="6FC0B36A">
            <w:pPr>
              <w:widowControl/>
              <w:jc w:val="center"/>
              <w:textAlignment w:val="center"/>
            </w:pPr>
            <w:r>
              <w:rPr>
                <w:rFonts w:hint="eastAsia"/>
              </w:rPr>
              <w:t>后端互联交换机</w:t>
            </w:r>
          </w:p>
        </w:tc>
        <w:tc>
          <w:tcPr>
            <w:tcW w:w="467" w:type="pct"/>
            <w:tcBorders>
              <w:top w:val="single" w:color="auto" w:sz="4" w:space="0"/>
              <w:left w:val="single" w:color="auto" w:sz="4" w:space="0"/>
              <w:bottom w:val="single" w:color="auto" w:sz="4" w:space="0"/>
              <w:right w:val="single" w:color="auto" w:sz="4" w:space="0"/>
            </w:tcBorders>
            <w:noWrap/>
            <w:vAlign w:val="center"/>
          </w:tcPr>
          <w:p w14:paraId="4EAFD8DA">
            <w:pPr>
              <w:widowControl/>
              <w:jc w:val="center"/>
              <w:textAlignment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2</w:t>
            </w:r>
          </w:p>
        </w:tc>
        <w:tc>
          <w:tcPr>
            <w:tcW w:w="467" w:type="pct"/>
            <w:tcBorders>
              <w:top w:val="single" w:color="auto" w:sz="4" w:space="0"/>
              <w:left w:val="single" w:color="auto" w:sz="4" w:space="0"/>
              <w:bottom w:val="single" w:color="auto" w:sz="4" w:space="0"/>
              <w:right w:val="single" w:color="auto" w:sz="4" w:space="0"/>
            </w:tcBorders>
            <w:noWrap/>
            <w:vAlign w:val="center"/>
          </w:tcPr>
          <w:p w14:paraId="4B1EFA09">
            <w:pPr>
              <w:jc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台</w:t>
            </w:r>
          </w:p>
        </w:tc>
        <w:tc>
          <w:tcPr>
            <w:tcW w:w="1649" w:type="pct"/>
            <w:vMerge w:val="continue"/>
            <w:tcBorders>
              <w:left w:val="single" w:color="auto" w:sz="4" w:space="0"/>
              <w:right w:val="single" w:color="auto" w:sz="4" w:space="0"/>
            </w:tcBorders>
            <w:noWrap/>
            <w:vAlign w:val="center"/>
          </w:tcPr>
          <w:p w14:paraId="7E6B191C">
            <w:pPr>
              <w:jc w:val="center"/>
              <w:rPr>
                <w:rFonts w:cs="微软雅黑" w:asciiTheme="minorEastAsia" w:hAnsiTheme="minorEastAsia"/>
                <w:color w:val="000000"/>
                <w:kern w:val="0"/>
                <w:sz w:val="22"/>
                <w:szCs w:val="22"/>
                <w:lang w:bidi="ar"/>
              </w:rPr>
            </w:pPr>
          </w:p>
        </w:tc>
      </w:tr>
      <w:tr w14:paraId="6FDC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466" w:type="pct"/>
            <w:tcBorders>
              <w:top w:val="single" w:color="auto" w:sz="4" w:space="0"/>
              <w:left w:val="single" w:color="auto" w:sz="4" w:space="0"/>
              <w:bottom w:val="single" w:color="auto" w:sz="4" w:space="0"/>
              <w:right w:val="single" w:color="auto" w:sz="4" w:space="0"/>
            </w:tcBorders>
            <w:noWrap/>
            <w:vAlign w:val="center"/>
          </w:tcPr>
          <w:p w14:paraId="38992E77">
            <w:pPr>
              <w:jc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3</w:t>
            </w:r>
          </w:p>
        </w:tc>
        <w:tc>
          <w:tcPr>
            <w:tcW w:w="1951" w:type="pct"/>
            <w:tcBorders>
              <w:top w:val="single" w:color="auto" w:sz="4" w:space="0"/>
              <w:left w:val="single" w:color="auto" w:sz="4" w:space="0"/>
              <w:bottom w:val="single" w:color="auto" w:sz="4" w:space="0"/>
              <w:right w:val="single" w:color="auto" w:sz="4" w:space="0"/>
            </w:tcBorders>
            <w:vAlign w:val="center"/>
          </w:tcPr>
          <w:p w14:paraId="67986C7C">
            <w:pPr>
              <w:widowControl/>
              <w:jc w:val="center"/>
              <w:textAlignment w:val="center"/>
            </w:pPr>
            <w:r>
              <w:rPr>
                <w:rFonts w:hint="eastAsia"/>
              </w:rPr>
              <w:t>业务接入交换机</w:t>
            </w:r>
          </w:p>
        </w:tc>
        <w:tc>
          <w:tcPr>
            <w:tcW w:w="467" w:type="pct"/>
            <w:tcBorders>
              <w:top w:val="single" w:color="auto" w:sz="4" w:space="0"/>
              <w:left w:val="single" w:color="auto" w:sz="4" w:space="0"/>
              <w:bottom w:val="single" w:color="auto" w:sz="4" w:space="0"/>
              <w:right w:val="single" w:color="auto" w:sz="4" w:space="0"/>
            </w:tcBorders>
            <w:noWrap/>
            <w:vAlign w:val="center"/>
          </w:tcPr>
          <w:p w14:paraId="5D86C868">
            <w:pPr>
              <w:widowControl/>
              <w:jc w:val="center"/>
              <w:textAlignment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2</w:t>
            </w:r>
          </w:p>
        </w:tc>
        <w:tc>
          <w:tcPr>
            <w:tcW w:w="467" w:type="pct"/>
            <w:tcBorders>
              <w:top w:val="single" w:color="auto" w:sz="4" w:space="0"/>
              <w:left w:val="single" w:color="auto" w:sz="4" w:space="0"/>
              <w:bottom w:val="single" w:color="auto" w:sz="4" w:space="0"/>
              <w:right w:val="single" w:color="auto" w:sz="4" w:space="0"/>
            </w:tcBorders>
            <w:noWrap/>
            <w:vAlign w:val="center"/>
          </w:tcPr>
          <w:p w14:paraId="16C3252F">
            <w:pPr>
              <w:jc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台</w:t>
            </w:r>
          </w:p>
        </w:tc>
        <w:tc>
          <w:tcPr>
            <w:tcW w:w="1649" w:type="pct"/>
            <w:vMerge w:val="continue"/>
            <w:tcBorders>
              <w:left w:val="single" w:color="auto" w:sz="4" w:space="0"/>
              <w:right w:val="single" w:color="auto" w:sz="4" w:space="0"/>
            </w:tcBorders>
            <w:noWrap/>
            <w:vAlign w:val="center"/>
          </w:tcPr>
          <w:p w14:paraId="57764906">
            <w:pPr>
              <w:jc w:val="center"/>
              <w:rPr>
                <w:rFonts w:cs="微软雅黑" w:asciiTheme="minorEastAsia" w:hAnsiTheme="minorEastAsia"/>
                <w:color w:val="000000"/>
                <w:kern w:val="0"/>
                <w:sz w:val="22"/>
                <w:szCs w:val="22"/>
                <w:lang w:bidi="ar"/>
              </w:rPr>
            </w:pPr>
          </w:p>
        </w:tc>
      </w:tr>
      <w:tr w14:paraId="285A6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466" w:type="pct"/>
            <w:tcBorders>
              <w:top w:val="single" w:color="auto" w:sz="4" w:space="0"/>
              <w:left w:val="single" w:color="auto" w:sz="4" w:space="0"/>
              <w:bottom w:val="single" w:color="auto" w:sz="4" w:space="0"/>
              <w:right w:val="single" w:color="auto" w:sz="4" w:space="0"/>
            </w:tcBorders>
            <w:noWrap/>
            <w:vAlign w:val="center"/>
          </w:tcPr>
          <w:p w14:paraId="63DCBC58">
            <w:pPr>
              <w:jc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4</w:t>
            </w:r>
          </w:p>
        </w:tc>
        <w:tc>
          <w:tcPr>
            <w:tcW w:w="1951" w:type="pct"/>
            <w:tcBorders>
              <w:top w:val="single" w:color="auto" w:sz="4" w:space="0"/>
              <w:left w:val="single" w:color="auto" w:sz="4" w:space="0"/>
              <w:bottom w:val="single" w:color="auto" w:sz="4" w:space="0"/>
              <w:right w:val="single" w:color="auto" w:sz="4" w:space="0"/>
            </w:tcBorders>
            <w:vAlign w:val="center"/>
          </w:tcPr>
          <w:p w14:paraId="26326758">
            <w:pPr>
              <w:widowControl/>
              <w:jc w:val="center"/>
              <w:textAlignment w:val="center"/>
            </w:pPr>
            <w:r>
              <w:rPr>
                <w:rFonts w:hint="eastAsia"/>
              </w:rPr>
              <w:t>线缆</w:t>
            </w:r>
          </w:p>
        </w:tc>
        <w:tc>
          <w:tcPr>
            <w:tcW w:w="467" w:type="pct"/>
            <w:tcBorders>
              <w:top w:val="single" w:color="auto" w:sz="4" w:space="0"/>
              <w:left w:val="single" w:color="auto" w:sz="4" w:space="0"/>
              <w:bottom w:val="single" w:color="auto" w:sz="4" w:space="0"/>
              <w:right w:val="single" w:color="auto" w:sz="4" w:space="0"/>
            </w:tcBorders>
            <w:noWrap/>
            <w:vAlign w:val="center"/>
          </w:tcPr>
          <w:p w14:paraId="76B3599B">
            <w:pPr>
              <w:widowControl/>
              <w:jc w:val="center"/>
              <w:textAlignment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1</w:t>
            </w:r>
          </w:p>
        </w:tc>
        <w:tc>
          <w:tcPr>
            <w:tcW w:w="467" w:type="pct"/>
            <w:tcBorders>
              <w:top w:val="single" w:color="auto" w:sz="4" w:space="0"/>
              <w:left w:val="single" w:color="auto" w:sz="4" w:space="0"/>
              <w:bottom w:val="single" w:color="auto" w:sz="4" w:space="0"/>
              <w:right w:val="single" w:color="auto" w:sz="4" w:space="0"/>
            </w:tcBorders>
            <w:noWrap/>
            <w:vAlign w:val="center"/>
          </w:tcPr>
          <w:p w14:paraId="598189D1">
            <w:pPr>
              <w:jc w:val="center"/>
              <w:rPr>
                <w:rFonts w:cs="微软雅黑" w:asciiTheme="minorEastAsia" w:hAnsiTheme="minorEastAsia"/>
                <w:color w:val="000000"/>
                <w:kern w:val="0"/>
                <w:sz w:val="22"/>
                <w:szCs w:val="22"/>
                <w:lang w:bidi="ar"/>
              </w:rPr>
            </w:pPr>
            <w:r>
              <w:rPr>
                <w:rFonts w:hint="eastAsia" w:cs="微软雅黑" w:asciiTheme="minorEastAsia" w:hAnsiTheme="minorEastAsia"/>
                <w:color w:val="000000"/>
                <w:kern w:val="0"/>
                <w:sz w:val="22"/>
                <w:szCs w:val="22"/>
                <w:lang w:bidi="ar"/>
              </w:rPr>
              <w:t>批</w:t>
            </w:r>
          </w:p>
        </w:tc>
        <w:tc>
          <w:tcPr>
            <w:tcW w:w="1649" w:type="pct"/>
            <w:vMerge w:val="continue"/>
            <w:tcBorders>
              <w:left w:val="single" w:color="auto" w:sz="4" w:space="0"/>
              <w:bottom w:val="single" w:color="auto" w:sz="4" w:space="0"/>
              <w:right w:val="single" w:color="auto" w:sz="4" w:space="0"/>
            </w:tcBorders>
            <w:noWrap/>
            <w:vAlign w:val="center"/>
          </w:tcPr>
          <w:p w14:paraId="5990F02A">
            <w:pPr>
              <w:jc w:val="center"/>
              <w:rPr>
                <w:rFonts w:cs="微软雅黑" w:asciiTheme="minorEastAsia" w:hAnsiTheme="minorEastAsia"/>
                <w:color w:val="000000"/>
                <w:kern w:val="0"/>
                <w:sz w:val="22"/>
                <w:szCs w:val="22"/>
                <w:lang w:bidi="ar"/>
              </w:rPr>
            </w:pPr>
          </w:p>
        </w:tc>
      </w:tr>
    </w:tbl>
    <w:p w14:paraId="2C5EBD6F"/>
    <w:p w14:paraId="100DD8B2">
      <w:pPr>
        <w:keepNext/>
        <w:keepLines/>
        <w:numPr>
          <w:ilvl w:val="0"/>
          <w:numId w:val="1"/>
        </w:numPr>
        <w:adjustRightInd w:val="0"/>
        <w:snapToGrid w:val="0"/>
        <w:spacing w:before="312" w:beforeLines="100" w:after="312" w:afterLines="100" w:line="460" w:lineRule="exact"/>
        <w:ind w:firstLine="0"/>
        <w:jc w:val="left"/>
        <w:outlineLvl w:val="1"/>
        <w:rPr>
          <w:rFonts w:ascii="宋体" w:hAnsi="宋体" w:eastAsia="宋体" w:cs="宋体"/>
          <w:b/>
          <w:bCs/>
          <w:sz w:val="28"/>
          <w:szCs w:val="28"/>
        </w:rPr>
      </w:pPr>
      <w:r>
        <w:rPr>
          <w:rFonts w:hint="eastAsia" w:ascii="宋体" w:hAnsi="宋体" w:eastAsia="宋体" w:cs="宋体"/>
          <w:b/>
          <w:bCs/>
          <w:sz w:val="28"/>
          <w:szCs w:val="28"/>
        </w:rPr>
        <w:t>详细需求参数</w:t>
      </w:r>
    </w:p>
    <w:p w14:paraId="7B430257">
      <w:pPr>
        <w:rPr>
          <w:rFonts w:ascii="宋体" w:hAnsi="宋体" w:eastAsia="宋体" w:cs="宋体"/>
          <w:kern w:val="0"/>
          <w:sz w:val="22"/>
          <w:szCs w:val="22"/>
          <w14:ligatures w14:val="standardContextual"/>
        </w:rPr>
      </w:pPr>
      <w:r>
        <w:rPr>
          <w:rFonts w:hint="eastAsia" w:ascii="宋体" w:hAnsi="宋体" w:eastAsia="宋体" w:cs="宋体"/>
          <w:kern w:val="0"/>
          <w:sz w:val="22"/>
          <w:szCs w:val="22"/>
          <w14:ligatures w14:val="standardContextual"/>
        </w:rPr>
        <w:t>说明：以上技术要求中“▲”为实质性参数，供应商必须做出实质性响应，不满足则废标。“★”为重要技术指标，技术要求中的官网截图、功能截图、资质要求等证明文件，需要在投标时提供。</w:t>
      </w:r>
    </w:p>
    <w:p w14:paraId="3016F1B2"/>
    <w:p w14:paraId="6A047E47">
      <w:pPr>
        <w:pStyle w:val="21"/>
        <w:numPr>
          <w:ilvl w:val="0"/>
          <w:numId w:val="2"/>
        </w:numPr>
        <w:spacing w:line="360" w:lineRule="auto"/>
        <w:ind w:firstLineChars="0"/>
        <w:rPr>
          <w:rFonts w:ascii="宋体" w:hAnsi="宋体" w:eastAsia="宋体" w:cs="宋体"/>
          <w:b/>
          <w:kern w:val="0"/>
          <w:sz w:val="24"/>
          <w14:ligatures w14:val="standardContextual"/>
        </w:rPr>
      </w:pPr>
      <w:r>
        <w:rPr>
          <w:rFonts w:hint="eastAsia" w:ascii="宋体" w:hAnsi="宋体" w:eastAsia="宋体" w:cs="宋体"/>
          <w:b/>
          <w:kern w:val="0"/>
          <w:sz w:val="24"/>
          <w14:ligatures w14:val="standardContextual"/>
        </w:rPr>
        <w:t>分布式存储（一套）技术要求</w:t>
      </w:r>
    </w:p>
    <w:tbl>
      <w:tblPr>
        <w:tblStyle w:val="8"/>
        <w:tblW w:w="0" w:type="auto"/>
        <w:tblInd w:w="-5" w:type="dxa"/>
        <w:tblLayout w:type="autofit"/>
        <w:tblCellMar>
          <w:top w:w="0" w:type="dxa"/>
          <w:left w:w="108" w:type="dxa"/>
          <w:bottom w:w="0" w:type="dxa"/>
          <w:right w:w="108" w:type="dxa"/>
        </w:tblCellMar>
      </w:tblPr>
      <w:tblGrid>
        <w:gridCol w:w="1701"/>
        <w:gridCol w:w="6600"/>
      </w:tblGrid>
      <w:tr w14:paraId="65C15171">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DD06E">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指标性</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EB6B">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技术指标</w:t>
            </w:r>
          </w:p>
        </w:tc>
      </w:tr>
      <w:tr w14:paraId="33E57EBD">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E59A1">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▲自主可控</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5FCF">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所投存储产品使用成熟稳定的国产品牌自主研发</w:t>
            </w:r>
            <w:r>
              <w:rPr>
                <w:rFonts w:ascii="Times New Roman" w:hAnsi="Times New Roman" w:eastAsia="宋体" w:cs="Times New Roman"/>
                <w:color w:val="000000"/>
                <w:kern w:val="0"/>
                <w:sz w:val="22"/>
                <w:szCs w:val="22"/>
              </w:rPr>
              <w:t>CPU</w:t>
            </w:r>
            <w:r>
              <w:rPr>
                <w:rFonts w:ascii="宋体" w:hAnsi="宋体" w:eastAsia="宋体" w:cs="宋体"/>
                <w:color w:val="000000"/>
                <w:kern w:val="0"/>
                <w:sz w:val="22"/>
                <w:szCs w:val="22"/>
              </w:rPr>
              <w:t>（如鲲鹏、飞腾、申威、海光），并且</w:t>
            </w:r>
            <w:r>
              <w:rPr>
                <w:rFonts w:ascii="Times New Roman" w:hAnsi="Times New Roman" w:eastAsia="宋体" w:cs="Times New Roman"/>
                <w:color w:val="000000"/>
                <w:kern w:val="0"/>
                <w:sz w:val="22"/>
                <w:szCs w:val="22"/>
              </w:rPr>
              <w:t>CPU</w:t>
            </w:r>
            <w:r>
              <w:rPr>
                <w:rFonts w:ascii="宋体" w:hAnsi="宋体" w:eastAsia="宋体" w:cs="宋体"/>
                <w:color w:val="000000"/>
                <w:kern w:val="0"/>
                <w:sz w:val="22"/>
                <w:szCs w:val="22"/>
              </w:rPr>
              <w:t>通过国家保密科技测评中心安全可靠测评，提供中国信息安全测评中心官网安全可靠测评结果截图并加盖投标人有效公章</w:t>
            </w:r>
          </w:p>
        </w:tc>
      </w:tr>
      <w:tr w14:paraId="2036C73D">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BD9ED">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产品架构</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41497">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采用全对称分布式架构，无独立元数据节点，随着存储节点数的增加，分布式存储性能和容量也随着近线性增长，扩容过程中业务不中断，支持在线缩容，扩容和横向扩展，支持存储软件在线升级，升级操作均不影响前端业务的连续性。</w:t>
            </w:r>
          </w:p>
        </w:tc>
      </w:tr>
      <w:tr w14:paraId="38EBBC45">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70863597">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D82A">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存储产品为软硬一体，由同一厂商生产制造，且软件和硬件均为非</w:t>
            </w:r>
            <w:r>
              <w:rPr>
                <w:rFonts w:ascii="Times New Roman" w:hAnsi="Times New Roman" w:eastAsia="宋体" w:cs="Times New Roman"/>
                <w:color w:val="000000"/>
                <w:kern w:val="0"/>
                <w:sz w:val="22"/>
                <w:szCs w:val="22"/>
              </w:rPr>
              <w:t>OEM</w:t>
            </w:r>
            <w:r>
              <w:rPr>
                <w:rFonts w:ascii="宋体" w:hAnsi="宋体" w:eastAsia="宋体" w:cs="宋体"/>
                <w:color w:val="000000"/>
                <w:kern w:val="0"/>
                <w:sz w:val="22"/>
                <w:szCs w:val="22"/>
              </w:rPr>
              <w:t>产品，提供产品软件著作权登记证书</w:t>
            </w:r>
          </w:p>
        </w:tc>
      </w:tr>
      <w:tr w14:paraId="09202971">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263F4">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系统扩展性</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6D04">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具备大规模横向扩展能力，单集群规模最大可支持扩展至</w:t>
            </w:r>
            <w:r>
              <w:rPr>
                <w:rFonts w:ascii="Times New Roman" w:hAnsi="Times New Roman" w:eastAsia="宋体" w:cs="Times New Roman"/>
                <w:color w:val="000000"/>
                <w:kern w:val="0"/>
                <w:sz w:val="22"/>
                <w:szCs w:val="22"/>
              </w:rPr>
              <w:t>≥4096</w:t>
            </w:r>
            <w:r>
              <w:rPr>
                <w:rFonts w:ascii="宋体" w:hAnsi="宋体" w:eastAsia="宋体" w:cs="宋体"/>
                <w:color w:val="000000"/>
                <w:kern w:val="0"/>
                <w:sz w:val="22"/>
                <w:szCs w:val="22"/>
              </w:rPr>
              <w:t>节点。</w:t>
            </w:r>
          </w:p>
        </w:tc>
      </w:tr>
      <w:tr w14:paraId="362EEFF1">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2989D">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★文件系统</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57A3A">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单个集群支持配置</w:t>
            </w:r>
            <w:r>
              <w:rPr>
                <w:rFonts w:ascii="Times New Roman" w:hAnsi="Times New Roman" w:eastAsia="宋体" w:cs="Times New Roman"/>
                <w:color w:val="000000"/>
                <w:kern w:val="0"/>
                <w:sz w:val="22"/>
                <w:szCs w:val="22"/>
              </w:rPr>
              <w:t>10</w:t>
            </w:r>
            <w:r>
              <w:rPr>
                <w:rFonts w:ascii="宋体" w:hAnsi="宋体" w:eastAsia="宋体" w:cs="宋体"/>
                <w:color w:val="000000"/>
                <w:kern w:val="0"/>
                <w:sz w:val="22"/>
                <w:szCs w:val="22"/>
              </w:rPr>
              <w:t>万个独立的命名空间（文件系统</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桶），单个命名空间（文件系统</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桶）支持</w:t>
            </w:r>
            <w:r>
              <w:rPr>
                <w:rFonts w:ascii="Times New Roman" w:hAnsi="Times New Roman" w:eastAsia="宋体" w:cs="Times New Roman"/>
                <w:color w:val="000000"/>
                <w:kern w:val="0"/>
                <w:sz w:val="22"/>
                <w:szCs w:val="22"/>
              </w:rPr>
              <w:t>1000</w:t>
            </w:r>
            <w:r>
              <w:rPr>
                <w:rFonts w:ascii="宋体" w:hAnsi="宋体" w:eastAsia="宋体" w:cs="宋体"/>
                <w:color w:val="000000"/>
                <w:kern w:val="0"/>
                <w:sz w:val="22"/>
                <w:szCs w:val="22"/>
              </w:rPr>
              <w:t>亿以上文件</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对象，单个目录支持的文件数不低于</w:t>
            </w:r>
            <w:r>
              <w:rPr>
                <w:rFonts w:ascii="Times New Roman" w:hAnsi="Times New Roman" w:eastAsia="宋体" w:cs="Times New Roman"/>
                <w:color w:val="000000"/>
                <w:kern w:val="0"/>
                <w:sz w:val="22"/>
                <w:szCs w:val="22"/>
              </w:rPr>
              <w:t>3000</w:t>
            </w:r>
            <w:r>
              <w:rPr>
                <w:rFonts w:ascii="宋体" w:hAnsi="宋体" w:eastAsia="宋体" w:cs="宋体"/>
                <w:color w:val="000000"/>
                <w:kern w:val="0"/>
                <w:sz w:val="22"/>
                <w:szCs w:val="22"/>
              </w:rPr>
              <w:t>万，提供具备</w:t>
            </w:r>
            <w:r>
              <w:rPr>
                <w:rFonts w:ascii="Times New Roman" w:hAnsi="Times New Roman" w:eastAsia="宋体" w:cs="Times New Roman"/>
                <w:color w:val="000000"/>
                <w:kern w:val="0"/>
                <w:sz w:val="22"/>
                <w:szCs w:val="22"/>
              </w:rPr>
              <w:t>CMA</w:t>
            </w:r>
            <w:r>
              <w:rPr>
                <w:rFonts w:ascii="宋体" w:hAnsi="宋体" w:eastAsia="宋体" w:cs="宋体"/>
                <w:color w:val="000000"/>
                <w:kern w:val="0"/>
                <w:sz w:val="22"/>
                <w:szCs w:val="22"/>
              </w:rPr>
              <w:t>或</w:t>
            </w:r>
            <w:r>
              <w:rPr>
                <w:rFonts w:ascii="Times New Roman" w:hAnsi="Times New Roman" w:eastAsia="宋体" w:cs="Times New Roman"/>
                <w:color w:val="000000"/>
                <w:kern w:val="0"/>
                <w:sz w:val="22"/>
                <w:szCs w:val="22"/>
              </w:rPr>
              <w:t>CNAS(</w:t>
            </w:r>
            <w:r>
              <w:rPr>
                <w:rFonts w:ascii="宋体" w:hAnsi="宋体" w:eastAsia="宋体" w:cs="宋体"/>
                <w:color w:val="000000"/>
                <w:kern w:val="0"/>
                <w:sz w:val="22"/>
                <w:szCs w:val="22"/>
              </w:rPr>
              <w:t>中国合格评定国家认可委员会</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资质的第三方权威评测机构签字盖章的测试报告，加盖存储投标人有效公章</w:t>
            </w:r>
            <w:r>
              <w:rPr>
                <w:rFonts w:ascii="Times New Roman" w:hAnsi="Times New Roman" w:eastAsia="宋体" w:cs="Times New Roman"/>
                <w:color w:val="000000"/>
                <w:kern w:val="0"/>
                <w:sz w:val="22"/>
                <w:szCs w:val="22"/>
              </w:rPr>
              <w:t xml:space="preserve"> </w:t>
            </w:r>
          </w:p>
        </w:tc>
      </w:tr>
      <w:tr w14:paraId="477027A7">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7C778">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数据冗余保护</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C150B">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最多可容忍任意</w:t>
            </w:r>
            <w:r>
              <w:rPr>
                <w:rFonts w:ascii="Times New Roman" w:hAnsi="Times New Roman" w:eastAsia="宋体" w:cs="Times New Roman"/>
                <w:color w:val="000000"/>
                <w:kern w:val="0"/>
                <w:sz w:val="22"/>
                <w:szCs w:val="22"/>
              </w:rPr>
              <w:t>4</w:t>
            </w:r>
            <w:r>
              <w:rPr>
                <w:rFonts w:ascii="宋体" w:hAnsi="宋体" w:eastAsia="宋体" w:cs="宋体"/>
                <w:color w:val="000000"/>
                <w:kern w:val="0"/>
                <w:sz w:val="22"/>
                <w:szCs w:val="22"/>
              </w:rPr>
              <w:t>个节点同时失效而不丢失数据。支持动态</w:t>
            </w:r>
            <w:r>
              <w:rPr>
                <w:rFonts w:ascii="Times New Roman" w:hAnsi="Times New Roman" w:eastAsia="宋体" w:cs="Times New Roman"/>
                <w:color w:val="000000"/>
                <w:kern w:val="0"/>
                <w:sz w:val="22"/>
                <w:szCs w:val="22"/>
              </w:rPr>
              <w:t>EC</w:t>
            </w:r>
            <w:r>
              <w:rPr>
                <w:rFonts w:ascii="宋体" w:hAnsi="宋体" w:eastAsia="宋体" w:cs="宋体"/>
                <w:color w:val="000000"/>
                <w:kern w:val="0"/>
                <w:sz w:val="22"/>
                <w:szCs w:val="22"/>
              </w:rPr>
              <w:t>，当节点故障时，</w:t>
            </w:r>
            <w:r>
              <w:rPr>
                <w:rFonts w:ascii="Times New Roman" w:hAnsi="Times New Roman" w:eastAsia="宋体" w:cs="Times New Roman"/>
                <w:color w:val="000000"/>
                <w:kern w:val="0"/>
                <w:sz w:val="22"/>
                <w:szCs w:val="22"/>
              </w:rPr>
              <w:t>IO</w:t>
            </w:r>
            <w:r>
              <w:rPr>
                <w:rFonts w:ascii="宋体" w:hAnsi="宋体" w:eastAsia="宋体" w:cs="宋体"/>
                <w:color w:val="000000"/>
                <w:kern w:val="0"/>
                <w:sz w:val="22"/>
                <w:szCs w:val="22"/>
              </w:rPr>
              <w:t>切换时间小于</w:t>
            </w:r>
            <w:r>
              <w:rPr>
                <w:rFonts w:ascii="Times New Roman" w:hAnsi="Times New Roman" w:eastAsia="宋体" w:cs="Times New Roman"/>
                <w:color w:val="000000"/>
                <w:kern w:val="0"/>
                <w:sz w:val="22"/>
                <w:szCs w:val="22"/>
              </w:rPr>
              <w:t>10</w:t>
            </w:r>
            <w:r>
              <w:rPr>
                <w:rFonts w:ascii="宋体" w:hAnsi="宋体" w:eastAsia="宋体" w:cs="宋体"/>
                <w:color w:val="000000"/>
                <w:kern w:val="0"/>
                <w:sz w:val="22"/>
                <w:szCs w:val="22"/>
              </w:rPr>
              <w:t>秒，自动调整</w:t>
            </w:r>
            <w:r>
              <w:rPr>
                <w:rFonts w:ascii="Times New Roman" w:hAnsi="Times New Roman" w:eastAsia="宋体" w:cs="Times New Roman"/>
                <w:color w:val="000000"/>
                <w:kern w:val="0"/>
                <w:sz w:val="22"/>
                <w:szCs w:val="22"/>
              </w:rPr>
              <w:t>EC</w:t>
            </w:r>
            <w:r>
              <w:rPr>
                <w:rFonts w:ascii="宋体" w:hAnsi="宋体" w:eastAsia="宋体" w:cs="宋体"/>
                <w:color w:val="000000"/>
                <w:kern w:val="0"/>
                <w:sz w:val="22"/>
                <w:szCs w:val="22"/>
              </w:rPr>
              <w:t>配比，确保新数据可靠性不降级</w:t>
            </w:r>
          </w:p>
        </w:tc>
      </w:tr>
      <w:tr w14:paraId="18026B34">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1C5FE">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EC</w:t>
            </w:r>
            <w:r>
              <w:rPr>
                <w:rFonts w:ascii="宋体" w:hAnsi="宋体" w:eastAsia="宋体" w:cs="宋体"/>
                <w:color w:val="000000"/>
                <w:kern w:val="0"/>
                <w:sz w:val="22"/>
                <w:szCs w:val="22"/>
              </w:rPr>
              <w:t>扩列</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54B9C">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配置</w:t>
            </w:r>
            <w:r>
              <w:rPr>
                <w:rFonts w:ascii="Times New Roman" w:hAnsi="Times New Roman" w:eastAsia="宋体" w:cs="Times New Roman"/>
                <w:color w:val="000000"/>
                <w:kern w:val="0"/>
                <w:sz w:val="22"/>
                <w:szCs w:val="22"/>
              </w:rPr>
              <w:t>EC</w:t>
            </w:r>
            <w:r>
              <w:rPr>
                <w:rFonts w:ascii="宋体" w:hAnsi="宋体" w:eastAsia="宋体" w:cs="宋体"/>
                <w:color w:val="000000"/>
                <w:kern w:val="0"/>
                <w:sz w:val="22"/>
                <w:szCs w:val="22"/>
              </w:rPr>
              <w:t>（纠删码）数据保护功能，支持</w:t>
            </w:r>
            <w:r>
              <w:rPr>
                <w:rFonts w:ascii="Times New Roman" w:hAnsi="Times New Roman" w:eastAsia="宋体" w:cs="Times New Roman"/>
                <w:color w:val="000000"/>
                <w:kern w:val="0"/>
                <w:sz w:val="22"/>
                <w:szCs w:val="22"/>
              </w:rPr>
              <w:t>+2/+3/+4</w:t>
            </w:r>
            <w:r>
              <w:rPr>
                <w:rFonts w:ascii="宋体" w:hAnsi="宋体" w:eastAsia="宋体" w:cs="宋体"/>
                <w:color w:val="000000"/>
                <w:kern w:val="0"/>
                <w:sz w:val="22"/>
                <w:szCs w:val="22"/>
              </w:rPr>
              <w:t>灵活</w:t>
            </w:r>
            <w:r>
              <w:rPr>
                <w:rFonts w:ascii="Times New Roman" w:hAnsi="Times New Roman" w:eastAsia="宋体" w:cs="Times New Roman"/>
                <w:color w:val="000000"/>
                <w:kern w:val="0"/>
                <w:sz w:val="22"/>
                <w:szCs w:val="22"/>
              </w:rPr>
              <w:t>EC</w:t>
            </w:r>
            <w:r>
              <w:rPr>
                <w:rFonts w:ascii="宋体" w:hAnsi="宋体" w:eastAsia="宋体" w:cs="宋体"/>
                <w:color w:val="000000"/>
                <w:kern w:val="0"/>
                <w:sz w:val="22"/>
                <w:szCs w:val="22"/>
              </w:rPr>
              <w:t>配比，支持在扩容时，可对</w:t>
            </w:r>
            <w:r>
              <w:rPr>
                <w:rFonts w:ascii="Times New Roman" w:hAnsi="Times New Roman" w:eastAsia="宋体" w:cs="Times New Roman"/>
                <w:color w:val="000000"/>
                <w:kern w:val="0"/>
                <w:sz w:val="22"/>
                <w:szCs w:val="22"/>
              </w:rPr>
              <w:t>EC N+M</w:t>
            </w:r>
            <w:r>
              <w:rPr>
                <w:rFonts w:ascii="宋体" w:hAnsi="宋体" w:eastAsia="宋体" w:cs="宋体"/>
                <w:color w:val="000000"/>
                <w:kern w:val="0"/>
                <w:sz w:val="22"/>
                <w:szCs w:val="22"/>
              </w:rPr>
              <w:t>的</w:t>
            </w:r>
            <w:r>
              <w:rPr>
                <w:rFonts w:ascii="Times New Roman" w:hAnsi="Times New Roman" w:eastAsia="宋体" w:cs="Times New Roman"/>
                <w:color w:val="000000"/>
                <w:kern w:val="0"/>
                <w:sz w:val="22"/>
                <w:szCs w:val="22"/>
              </w:rPr>
              <w:t>N</w:t>
            </w:r>
            <w:r>
              <w:rPr>
                <w:rFonts w:ascii="宋体" w:hAnsi="宋体" w:eastAsia="宋体" w:cs="宋体"/>
                <w:color w:val="000000"/>
                <w:kern w:val="0"/>
                <w:sz w:val="22"/>
                <w:szCs w:val="22"/>
              </w:rPr>
              <w:t>进行动态扩列，并且可配置扩容后</w:t>
            </w:r>
            <w:r>
              <w:rPr>
                <w:rFonts w:ascii="Times New Roman" w:hAnsi="Times New Roman" w:eastAsia="宋体" w:cs="Times New Roman"/>
                <w:color w:val="000000"/>
                <w:kern w:val="0"/>
                <w:sz w:val="22"/>
                <w:szCs w:val="22"/>
              </w:rPr>
              <w:t>EC</w:t>
            </w:r>
            <w:r>
              <w:rPr>
                <w:rFonts w:ascii="宋体" w:hAnsi="宋体" w:eastAsia="宋体" w:cs="宋体"/>
                <w:color w:val="000000"/>
                <w:kern w:val="0"/>
                <w:sz w:val="22"/>
                <w:szCs w:val="22"/>
              </w:rPr>
              <w:t>的</w:t>
            </w:r>
            <w:r>
              <w:rPr>
                <w:rFonts w:ascii="Times New Roman" w:hAnsi="Times New Roman" w:eastAsia="宋体" w:cs="Times New Roman"/>
                <w:color w:val="000000"/>
                <w:kern w:val="0"/>
                <w:sz w:val="22"/>
                <w:szCs w:val="22"/>
              </w:rPr>
              <w:t>N+M</w:t>
            </w:r>
            <w:r>
              <w:rPr>
                <w:rFonts w:ascii="宋体" w:hAnsi="宋体" w:eastAsia="宋体" w:cs="宋体"/>
                <w:color w:val="000000"/>
                <w:kern w:val="0"/>
                <w:sz w:val="22"/>
                <w:szCs w:val="22"/>
              </w:rPr>
              <w:t>配比，扩容后由硬盘池内节点数决定</w:t>
            </w:r>
            <w:r>
              <w:rPr>
                <w:rFonts w:ascii="Times New Roman" w:hAnsi="Times New Roman" w:eastAsia="宋体" w:cs="Times New Roman"/>
                <w:color w:val="000000"/>
                <w:kern w:val="0"/>
                <w:sz w:val="22"/>
                <w:szCs w:val="22"/>
              </w:rPr>
              <w:t>EC</w:t>
            </w:r>
            <w:r>
              <w:rPr>
                <w:rFonts w:ascii="宋体" w:hAnsi="宋体" w:eastAsia="宋体" w:cs="宋体"/>
                <w:color w:val="000000"/>
                <w:kern w:val="0"/>
                <w:sz w:val="22"/>
                <w:szCs w:val="22"/>
              </w:rPr>
              <w:t>冗余配比，最大支持设置扩</w:t>
            </w:r>
            <w:r>
              <w:rPr>
                <w:rFonts w:ascii="Times New Roman" w:hAnsi="Times New Roman" w:eastAsia="宋体" w:cs="Times New Roman"/>
                <w:color w:val="000000"/>
                <w:kern w:val="0"/>
                <w:sz w:val="22"/>
                <w:szCs w:val="22"/>
              </w:rPr>
              <w:t>N+M</w:t>
            </w:r>
            <w:r>
              <w:rPr>
                <w:rFonts w:ascii="宋体" w:hAnsi="宋体" w:eastAsia="宋体" w:cs="宋体"/>
                <w:color w:val="000000"/>
                <w:kern w:val="0"/>
                <w:sz w:val="22"/>
                <w:szCs w:val="22"/>
              </w:rPr>
              <w:t>为</w:t>
            </w:r>
            <w:r>
              <w:rPr>
                <w:rFonts w:ascii="Times New Roman" w:hAnsi="Times New Roman" w:eastAsia="宋体" w:cs="Times New Roman"/>
                <w:color w:val="000000"/>
                <w:kern w:val="0"/>
                <w:sz w:val="22"/>
                <w:szCs w:val="22"/>
              </w:rPr>
              <w:t>22+2</w:t>
            </w:r>
            <w:r>
              <w:rPr>
                <w:rFonts w:ascii="宋体" w:hAnsi="宋体" w:eastAsia="宋体" w:cs="宋体"/>
                <w:color w:val="000000"/>
                <w:kern w:val="0"/>
                <w:sz w:val="22"/>
                <w:szCs w:val="22"/>
              </w:rPr>
              <w:t>，提供具备</w:t>
            </w:r>
            <w:r>
              <w:rPr>
                <w:rFonts w:ascii="Times New Roman" w:hAnsi="Times New Roman" w:eastAsia="宋体" w:cs="Times New Roman"/>
                <w:color w:val="000000"/>
                <w:kern w:val="0"/>
                <w:sz w:val="22"/>
                <w:szCs w:val="22"/>
              </w:rPr>
              <w:t>CMA</w:t>
            </w:r>
            <w:r>
              <w:rPr>
                <w:rFonts w:ascii="宋体" w:hAnsi="宋体" w:eastAsia="宋体" w:cs="宋体"/>
                <w:color w:val="000000"/>
                <w:kern w:val="0"/>
                <w:sz w:val="22"/>
                <w:szCs w:val="22"/>
              </w:rPr>
              <w:t>或</w:t>
            </w:r>
            <w:r>
              <w:rPr>
                <w:rFonts w:ascii="Times New Roman" w:hAnsi="Times New Roman" w:eastAsia="宋体" w:cs="Times New Roman"/>
                <w:color w:val="000000"/>
                <w:kern w:val="0"/>
                <w:sz w:val="22"/>
                <w:szCs w:val="22"/>
              </w:rPr>
              <w:t>CNAS(</w:t>
            </w:r>
            <w:r>
              <w:rPr>
                <w:rFonts w:ascii="宋体" w:hAnsi="宋体" w:eastAsia="宋体" w:cs="宋体"/>
                <w:color w:val="000000"/>
                <w:kern w:val="0"/>
                <w:sz w:val="22"/>
                <w:szCs w:val="22"/>
              </w:rPr>
              <w:t>中国合格评定国家认可委员会</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资质的第三方权威评测机构签字盖章的测试报告，加盖存储投标人有效公章</w:t>
            </w:r>
            <w:r>
              <w:rPr>
                <w:rFonts w:ascii="Times New Roman" w:hAnsi="Times New Roman" w:eastAsia="宋体" w:cs="Times New Roman"/>
                <w:color w:val="000000"/>
                <w:kern w:val="0"/>
                <w:sz w:val="22"/>
                <w:szCs w:val="22"/>
              </w:rPr>
              <w:t xml:space="preserve"> </w:t>
            </w:r>
          </w:p>
        </w:tc>
      </w:tr>
      <w:tr w14:paraId="7A4665B3">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6C6E">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快照</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776D3">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配置快照功能，文件</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对象</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大数据服务均支持快照能力，支持基于命名空间和子命名空间粒度的快照，支持</w:t>
            </w:r>
            <w:r>
              <w:rPr>
                <w:rFonts w:ascii="Times New Roman" w:hAnsi="Times New Roman" w:eastAsia="宋体" w:cs="Times New Roman"/>
                <w:color w:val="000000"/>
                <w:kern w:val="0"/>
                <w:sz w:val="22"/>
                <w:szCs w:val="22"/>
              </w:rPr>
              <w:t>ROW</w:t>
            </w:r>
            <w:r>
              <w:rPr>
                <w:rFonts w:ascii="宋体" w:hAnsi="宋体" w:eastAsia="宋体" w:cs="宋体"/>
                <w:color w:val="000000"/>
                <w:kern w:val="0"/>
                <w:sz w:val="22"/>
                <w:szCs w:val="22"/>
              </w:rPr>
              <w:t>快照，支持定时快照，支持设置固定周期（小时、天、周、月）快照策略支持安全快照，安全快照保留期单位可选天、月、年，支持设置最大保留期为</w:t>
            </w:r>
            <w:r>
              <w:rPr>
                <w:rFonts w:ascii="Times New Roman" w:hAnsi="Times New Roman" w:eastAsia="宋体" w:cs="Times New Roman"/>
                <w:color w:val="000000"/>
                <w:kern w:val="0"/>
                <w:sz w:val="22"/>
                <w:szCs w:val="22"/>
              </w:rPr>
              <w:t>20</w:t>
            </w:r>
            <w:r>
              <w:rPr>
                <w:rFonts w:ascii="宋体" w:hAnsi="宋体" w:eastAsia="宋体" w:cs="宋体"/>
                <w:color w:val="000000"/>
                <w:kern w:val="0"/>
                <w:sz w:val="22"/>
                <w:szCs w:val="22"/>
              </w:rPr>
              <w:t>年，并支持对过期安全快照自动删除，快照占用的空间可在配额中统计。</w:t>
            </w:r>
          </w:p>
        </w:tc>
      </w:tr>
      <w:tr w14:paraId="590CA8F3">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87757">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★智能</w:t>
            </w:r>
            <w:r>
              <w:rPr>
                <w:rFonts w:ascii="Times New Roman" w:hAnsi="Times New Roman" w:eastAsia="宋体" w:cs="Times New Roman"/>
                <w:color w:val="000000"/>
                <w:kern w:val="0"/>
                <w:sz w:val="22"/>
                <w:szCs w:val="22"/>
              </w:rPr>
              <w:t>QOS</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7336D">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配置Qos功能，文件/大数据/对象服务均支持Qos功能，多服务共享一份Qos资源，支持基于租户、用户、用户组、命名空间（文件系统/桶）、目录或客户端进行配置，支持限定带宽和IOPS上限，提供具备CMA或CNAS认证资质且隶属国家部委的认证机构的认证报告。</w:t>
            </w:r>
          </w:p>
        </w:tc>
      </w:tr>
      <w:tr w14:paraId="4E9BE74A">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A4FA3">
            <w:pPr>
              <w:widowControl/>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WORM</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067D">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配置</w:t>
            </w:r>
            <w:r>
              <w:rPr>
                <w:rFonts w:ascii="Times New Roman" w:hAnsi="Times New Roman" w:eastAsia="宋体" w:cs="Times New Roman"/>
                <w:color w:val="000000"/>
                <w:kern w:val="0"/>
                <w:sz w:val="22"/>
                <w:szCs w:val="22"/>
              </w:rPr>
              <w:t>WORM</w:t>
            </w:r>
            <w:r>
              <w:rPr>
                <w:rFonts w:ascii="宋体" w:hAnsi="宋体" w:eastAsia="宋体" w:cs="宋体"/>
                <w:color w:val="000000"/>
                <w:kern w:val="0"/>
                <w:sz w:val="22"/>
                <w:szCs w:val="22"/>
              </w:rPr>
              <w:t>功能，支持配置企业级</w:t>
            </w:r>
            <w:r>
              <w:rPr>
                <w:rFonts w:ascii="Times New Roman" w:hAnsi="Times New Roman" w:eastAsia="宋体" w:cs="Times New Roman"/>
                <w:color w:val="000000"/>
                <w:kern w:val="0"/>
                <w:sz w:val="22"/>
                <w:szCs w:val="22"/>
              </w:rPr>
              <w:t>WORM</w:t>
            </w:r>
            <w:r>
              <w:rPr>
                <w:rFonts w:ascii="宋体" w:hAnsi="宋体" w:eastAsia="宋体" w:cs="宋体"/>
                <w:color w:val="000000"/>
                <w:kern w:val="0"/>
                <w:sz w:val="22"/>
                <w:szCs w:val="22"/>
              </w:rPr>
              <w:t>，用户可以为文件设置保护期，在保护期内，文件只能读取，不能修改或删除。</w:t>
            </w:r>
          </w:p>
        </w:tc>
      </w:tr>
      <w:tr w14:paraId="2FE4BD62">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4E1B7">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★场景化压缩</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40F89">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配置场景化压缩功能，</w:t>
            </w:r>
            <w:r>
              <w:rPr>
                <w:rFonts w:ascii="宋体" w:hAnsi="宋体" w:eastAsia="宋体" w:cs="宋体"/>
                <w:color w:val="000000"/>
                <w:kern w:val="0"/>
                <w:sz w:val="22"/>
                <w:szCs w:val="22"/>
              </w:rPr>
              <w:t>支持对医疗的特有场景如基因测序、冷冻电镜、数字化病理、医疗</w:t>
            </w:r>
            <w:r>
              <w:rPr>
                <w:rFonts w:ascii="Times New Roman" w:hAnsi="Times New Roman" w:eastAsia="宋体" w:cs="Times New Roman"/>
                <w:color w:val="000000"/>
                <w:kern w:val="0"/>
                <w:sz w:val="22"/>
                <w:szCs w:val="22"/>
              </w:rPr>
              <w:t>PACS</w:t>
            </w:r>
            <w:r>
              <w:rPr>
                <w:rFonts w:ascii="宋体" w:hAnsi="宋体" w:eastAsia="宋体" w:cs="宋体"/>
                <w:color w:val="000000"/>
                <w:kern w:val="0"/>
                <w:sz w:val="22"/>
                <w:szCs w:val="22"/>
              </w:rPr>
              <w:t>影像文件进行压缩；</w:t>
            </w:r>
            <w:r>
              <w:rPr>
                <w:rFonts w:ascii="Times New Roman" w:hAnsi="Times New Roman" w:eastAsia="宋体" w:cs="Times New Roman"/>
                <w:color w:val="000000"/>
                <w:kern w:val="0"/>
                <w:sz w:val="22"/>
                <w:szCs w:val="22"/>
              </w:rPr>
              <w:t>PACS</w:t>
            </w:r>
            <w:r>
              <w:rPr>
                <w:rFonts w:ascii="宋体" w:hAnsi="宋体" w:eastAsia="宋体" w:cs="宋体"/>
                <w:color w:val="000000"/>
                <w:kern w:val="0"/>
                <w:sz w:val="22"/>
                <w:szCs w:val="22"/>
              </w:rPr>
              <w:t>场景和数字病理场景支持透明读功能；</w:t>
            </w:r>
            <w:r>
              <w:rPr>
                <w:rFonts w:ascii="Times New Roman" w:hAnsi="Times New Roman" w:eastAsia="宋体" w:cs="Times New Roman"/>
                <w:color w:val="000000"/>
                <w:kern w:val="0"/>
                <w:sz w:val="22"/>
                <w:szCs w:val="22"/>
              </w:rPr>
              <w:t>PACS</w:t>
            </w:r>
            <w:r>
              <w:rPr>
                <w:rFonts w:ascii="宋体" w:hAnsi="宋体" w:eastAsia="宋体" w:cs="宋体"/>
                <w:color w:val="000000"/>
                <w:kern w:val="0"/>
                <w:sz w:val="22"/>
                <w:szCs w:val="22"/>
              </w:rPr>
              <w:t>影像文件</w:t>
            </w:r>
            <w:r>
              <w:rPr>
                <w:rFonts w:ascii="Times New Roman" w:hAnsi="Times New Roman" w:eastAsia="宋体" w:cs="Times New Roman"/>
                <w:color w:val="000000"/>
                <w:kern w:val="0"/>
                <w:sz w:val="22"/>
                <w:szCs w:val="22"/>
              </w:rPr>
              <w:t>(DICOM</w:t>
            </w:r>
            <w:r>
              <w:rPr>
                <w:rFonts w:ascii="宋体" w:hAnsi="宋体" w:eastAsia="宋体" w:cs="宋体"/>
                <w:color w:val="000000"/>
                <w:kern w:val="0"/>
                <w:sz w:val="22"/>
                <w:szCs w:val="22"/>
              </w:rPr>
              <w:t>格式）对比</w:t>
            </w:r>
            <w:r>
              <w:rPr>
                <w:rFonts w:ascii="Times New Roman" w:hAnsi="Times New Roman" w:eastAsia="宋体" w:cs="Times New Roman"/>
                <w:color w:val="000000"/>
                <w:kern w:val="0"/>
                <w:sz w:val="22"/>
                <w:szCs w:val="22"/>
              </w:rPr>
              <w:t xml:space="preserve">JPEG </w:t>
            </w:r>
            <w:r>
              <w:rPr>
                <w:rFonts w:ascii="宋体" w:hAnsi="宋体" w:eastAsia="宋体" w:cs="宋体"/>
                <w:color w:val="000000"/>
                <w:kern w:val="0"/>
                <w:sz w:val="22"/>
                <w:szCs w:val="22"/>
              </w:rPr>
              <w:t>压缩率提升</w:t>
            </w:r>
            <w:r>
              <w:rPr>
                <w:rFonts w:ascii="Times New Roman" w:hAnsi="Times New Roman" w:eastAsia="宋体" w:cs="Times New Roman"/>
                <w:color w:val="000000"/>
                <w:kern w:val="0"/>
                <w:sz w:val="22"/>
                <w:szCs w:val="22"/>
              </w:rPr>
              <w:t>30</w:t>
            </w:r>
            <w:r>
              <w:rPr>
                <w:rFonts w:ascii="宋体" w:hAnsi="宋体" w:eastAsia="宋体" w:cs="宋体"/>
                <w:color w:val="000000"/>
                <w:kern w:val="0"/>
                <w:sz w:val="22"/>
                <w:szCs w:val="22"/>
              </w:rPr>
              <w:t>％以上；冷冻电镜文件</w:t>
            </w:r>
            <w:r>
              <w:rPr>
                <w:rFonts w:ascii="Times New Roman" w:hAnsi="Times New Roman" w:eastAsia="宋体" w:cs="Times New Roman"/>
                <w:color w:val="000000"/>
                <w:kern w:val="0"/>
                <w:sz w:val="22"/>
                <w:szCs w:val="22"/>
              </w:rPr>
              <w:t>(MRC</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MRCS</w:t>
            </w:r>
            <w:r>
              <w:rPr>
                <w:rFonts w:ascii="宋体" w:hAnsi="宋体" w:eastAsia="宋体" w:cs="宋体"/>
                <w:color w:val="000000"/>
                <w:kern w:val="0"/>
                <w:sz w:val="22"/>
                <w:szCs w:val="22"/>
              </w:rPr>
              <w:t>格式）压缩率比</w:t>
            </w:r>
            <w:r>
              <w:rPr>
                <w:rFonts w:ascii="Times New Roman" w:hAnsi="Times New Roman" w:eastAsia="宋体" w:cs="Times New Roman"/>
                <w:color w:val="000000"/>
                <w:kern w:val="0"/>
                <w:sz w:val="22"/>
                <w:szCs w:val="22"/>
              </w:rPr>
              <w:t>LZW</w:t>
            </w:r>
            <w:r>
              <w:rPr>
                <w:rFonts w:ascii="宋体" w:hAnsi="宋体" w:eastAsia="宋体" w:cs="宋体"/>
                <w:color w:val="000000"/>
                <w:kern w:val="0"/>
                <w:sz w:val="22"/>
                <w:szCs w:val="22"/>
              </w:rPr>
              <w:t>压缩率提升</w:t>
            </w:r>
            <w:r>
              <w:rPr>
                <w:rFonts w:ascii="Times New Roman" w:hAnsi="Times New Roman" w:eastAsia="宋体" w:cs="Times New Roman"/>
                <w:color w:val="000000"/>
                <w:kern w:val="0"/>
                <w:sz w:val="22"/>
                <w:szCs w:val="22"/>
              </w:rPr>
              <w:t>30</w:t>
            </w:r>
            <w:r>
              <w:rPr>
                <w:rFonts w:ascii="宋体" w:hAnsi="宋体" w:eastAsia="宋体" w:cs="宋体"/>
                <w:color w:val="000000"/>
                <w:kern w:val="0"/>
                <w:sz w:val="22"/>
                <w:szCs w:val="22"/>
              </w:rPr>
              <w:t>％以上；医疗病理文件</w:t>
            </w:r>
            <w:r>
              <w:rPr>
                <w:rFonts w:ascii="Times New Roman" w:hAnsi="Times New Roman" w:eastAsia="宋体" w:cs="Times New Roman"/>
                <w:color w:val="000000"/>
                <w:kern w:val="0"/>
                <w:sz w:val="22"/>
                <w:szCs w:val="22"/>
              </w:rPr>
              <w:t>(svs</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SDPC</w:t>
            </w:r>
            <w:r>
              <w:rPr>
                <w:rFonts w:ascii="宋体" w:hAnsi="宋体" w:eastAsia="宋体" w:cs="宋体"/>
                <w:color w:val="000000"/>
                <w:kern w:val="0"/>
                <w:sz w:val="22"/>
                <w:szCs w:val="22"/>
              </w:rPr>
              <w:t>格式）压缩率比</w:t>
            </w:r>
            <w:r>
              <w:rPr>
                <w:rFonts w:ascii="Times New Roman" w:hAnsi="Times New Roman" w:eastAsia="宋体" w:cs="Times New Roman"/>
                <w:color w:val="000000"/>
                <w:kern w:val="0"/>
                <w:sz w:val="22"/>
                <w:szCs w:val="22"/>
              </w:rPr>
              <w:t>JPEG</w:t>
            </w:r>
            <w:r>
              <w:rPr>
                <w:rFonts w:ascii="宋体" w:hAnsi="宋体" w:eastAsia="宋体" w:cs="宋体"/>
                <w:color w:val="000000"/>
                <w:kern w:val="0"/>
                <w:sz w:val="22"/>
                <w:szCs w:val="22"/>
              </w:rPr>
              <w:t>压缩率提升</w:t>
            </w:r>
            <w:r>
              <w:rPr>
                <w:rFonts w:ascii="Times New Roman" w:hAnsi="Times New Roman" w:eastAsia="宋体" w:cs="Times New Roman"/>
                <w:color w:val="000000"/>
                <w:kern w:val="0"/>
                <w:sz w:val="22"/>
                <w:szCs w:val="22"/>
              </w:rPr>
              <w:t>30</w:t>
            </w:r>
            <w:r>
              <w:rPr>
                <w:rFonts w:ascii="宋体" w:hAnsi="宋体" w:eastAsia="宋体" w:cs="宋体"/>
                <w:color w:val="000000"/>
                <w:kern w:val="0"/>
                <w:sz w:val="22"/>
                <w:szCs w:val="22"/>
              </w:rPr>
              <w:t>％以上，医疗病理文件</w:t>
            </w:r>
            <w:r>
              <w:rPr>
                <w:rFonts w:ascii="Times New Roman" w:hAnsi="Times New Roman" w:eastAsia="宋体" w:cs="Times New Roman"/>
                <w:color w:val="000000"/>
                <w:kern w:val="0"/>
                <w:sz w:val="22"/>
                <w:szCs w:val="22"/>
              </w:rPr>
              <w:t xml:space="preserve"> (KFB</w:t>
            </w:r>
            <w:r>
              <w:rPr>
                <w:rFonts w:ascii="宋体" w:hAnsi="宋体" w:eastAsia="宋体" w:cs="宋体"/>
                <w:color w:val="000000"/>
                <w:kern w:val="0"/>
                <w:sz w:val="22"/>
                <w:szCs w:val="22"/>
              </w:rPr>
              <w:t>格式）压缩率比</w:t>
            </w:r>
            <w:r>
              <w:rPr>
                <w:rFonts w:ascii="Times New Roman" w:hAnsi="Times New Roman" w:eastAsia="宋体" w:cs="Times New Roman"/>
                <w:color w:val="000000"/>
                <w:kern w:val="0"/>
                <w:sz w:val="22"/>
                <w:szCs w:val="22"/>
              </w:rPr>
              <w:t>JPEG</w:t>
            </w:r>
            <w:r>
              <w:rPr>
                <w:rFonts w:ascii="宋体" w:hAnsi="宋体" w:eastAsia="宋体" w:cs="宋体"/>
                <w:color w:val="000000"/>
                <w:kern w:val="0"/>
                <w:sz w:val="22"/>
                <w:szCs w:val="22"/>
              </w:rPr>
              <w:t>压缩率提升</w:t>
            </w:r>
            <w:r>
              <w:rPr>
                <w:rFonts w:ascii="Times New Roman" w:hAnsi="Times New Roman" w:eastAsia="宋体" w:cs="Times New Roman"/>
                <w:color w:val="000000"/>
                <w:kern w:val="0"/>
                <w:sz w:val="22"/>
                <w:szCs w:val="22"/>
              </w:rPr>
              <w:t>50</w:t>
            </w:r>
            <w:r>
              <w:rPr>
                <w:rFonts w:ascii="宋体" w:hAnsi="宋体" w:eastAsia="宋体" w:cs="宋体"/>
                <w:color w:val="000000"/>
                <w:kern w:val="0"/>
                <w:sz w:val="22"/>
                <w:szCs w:val="22"/>
              </w:rPr>
              <w:t>％以上；基因文件</w:t>
            </w:r>
            <w:r>
              <w:rPr>
                <w:rFonts w:ascii="Times New Roman" w:hAnsi="Times New Roman" w:eastAsia="宋体" w:cs="Times New Roman"/>
                <w:color w:val="000000"/>
                <w:kern w:val="0"/>
                <w:sz w:val="22"/>
                <w:szCs w:val="22"/>
              </w:rPr>
              <w:t>(fasta</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fastq</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fna</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fq</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fa</w:t>
            </w:r>
            <w:r>
              <w:rPr>
                <w:rFonts w:ascii="宋体" w:hAnsi="宋体" w:eastAsia="宋体" w:cs="宋体"/>
                <w:color w:val="000000"/>
                <w:kern w:val="0"/>
                <w:sz w:val="22"/>
                <w:szCs w:val="22"/>
              </w:rPr>
              <w:t>格式）压缩比</w:t>
            </w:r>
            <w:r>
              <w:rPr>
                <w:rFonts w:ascii="Times New Roman" w:hAnsi="Times New Roman" w:eastAsia="宋体" w:cs="Times New Roman"/>
                <w:color w:val="000000"/>
                <w:kern w:val="0"/>
                <w:sz w:val="22"/>
                <w:szCs w:val="22"/>
              </w:rPr>
              <w:t>GZIP</w:t>
            </w:r>
            <w:r>
              <w:rPr>
                <w:rFonts w:ascii="宋体" w:hAnsi="宋体" w:eastAsia="宋体" w:cs="宋体"/>
                <w:color w:val="000000"/>
                <w:kern w:val="0"/>
                <w:sz w:val="22"/>
                <w:szCs w:val="22"/>
              </w:rPr>
              <w:t>压缩率提升</w:t>
            </w:r>
            <w:r>
              <w:rPr>
                <w:rFonts w:ascii="Times New Roman" w:hAnsi="Times New Roman" w:eastAsia="宋体" w:cs="Times New Roman"/>
                <w:color w:val="000000"/>
                <w:kern w:val="0"/>
                <w:sz w:val="22"/>
                <w:szCs w:val="22"/>
              </w:rPr>
              <w:t>50</w:t>
            </w:r>
            <w:r>
              <w:rPr>
                <w:rFonts w:ascii="宋体" w:hAnsi="宋体" w:eastAsia="宋体" w:cs="宋体"/>
                <w:color w:val="000000"/>
                <w:kern w:val="0"/>
                <w:sz w:val="22"/>
                <w:szCs w:val="22"/>
              </w:rPr>
              <w:t>％以上；提供具备</w:t>
            </w:r>
            <w:r>
              <w:rPr>
                <w:rFonts w:ascii="Times New Roman" w:hAnsi="Times New Roman" w:eastAsia="宋体" w:cs="Times New Roman"/>
                <w:color w:val="000000"/>
                <w:kern w:val="0"/>
                <w:sz w:val="22"/>
                <w:szCs w:val="22"/>
              </w:rPr>
              <w:t>CMA</w:t>
            </w:r>
            <w:r>
              <w:rPr>
                <w:rFonts w:ascii="宋体" w:hAnsi="宋体" w:eastAsia="宋体" w:cs="宋体"/>
                <w:color w:val="000000"/>
                <w:kern w:val="0"/>
                <w:sz w:val="22"/>
                <w:szCs w:val="22"/>
              </w:rPr>
              <w:t>或</w:t>
            </w:r>
            <w:r>
              <w:rPr>
                <w:rFonts w:ascii="Times New Roman" w:hAnsi="Times New Roman" w:eastAsia="宋体" w:cs="Times New Roman"/>
                <w:color w:val="000000"/>
                <w:kern w:val="0"/>
                <w:sz w:val="22"/>
                <w:szCs w:val="22"/>
              </w:rPr>
              <w:t>CNAS(</w:t>
            </w:r>
            <w:r>
              <w:rPr>
                <w:rFonts w:ascii="宋体" w:hAnsi="宋体" w:eastAsia="宋体" w:cs="宋体"/>
                <w:color w:val="000000"/>
                <w:kern w:val="0"/>
                <w:sz w:val="22"/>
                <w:szCs w:val="22"/>
              </w:rPr>
              <w:t>中国合格评定国家认可委员会</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资质的第三方权威评测机构签字盖章的测试报告</w:t>
            </w:r>
          </w:p>
        </w:tc>
      </w:tr>
      <w:tr w14:paraId="19EA23DE">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21E6F">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回收站</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6D42">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配置文件</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大数据</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对象服务均支持回收站功能，回收站支持内文件</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对象的保留时长和扫描周期可配置，支持用户级回收站，提供保留时长，扫描周期等功能；支持回收站中为每个用户创建自己的目录、每个用户有权限清理自己目录下的文件。</w:t>
            </w:r>
          </w:p>
        </w:tc>
      </w:tr>
      <w:tr w14:paraId="03222BCE">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EB98A">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协议互通</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0BE53">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支持</w:t>
            </w:r>
            <w:r>
              <w:rPr>
                <w:rFonts w:ascii="Times New Roman" w:hAnsi="Times New Roman" w:eastAsia="宋体" w:cs="Times New Roman"/>
                <w:color w:val="000000"/>
                <w:kern w:val="0"/>
                <w:sz w:val="22"/>
                <w:szCs w:val="22"/>
              </w:rPr>
              <w:t>NFS</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CIFS</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POSIX</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MPI-IO</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S3</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 xml:space="preserve">HDFS </w:t>
            </w:r>
            <w:r>
              <w:rPr>
                <w:rFonts w:ascii="宋体" w:hAnsi="宋体" w:eastAsia="宋体" w:cs="宋体"/>
                <w:color w:val="000000"/>
                <w:kern w:val="0"/>
                <w:sz w:val="22"/>
                <w:szCs w:val="22"/>
              </w:rPr>
              <w:t>等多种协议访问同一文件的功能，避免因访问协议不同造成的数据拷贝，无明显语义损失，支持文件修改写、对象字典序、对象多段上传、对象多版本等常用语义，无需配置独立的网关节点</w:t>
            </w:r>
          </w:p>
        </w:tc>
      </w:tr>
      <w:tr w14:paraId="51B600A1">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73369">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安全性</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C181E">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支持</w:t>
            </w:r>
            <w:r>
              <w:rPr>
                <w:rFonts w:ascii="Times New Roman" w:hAnsi="Times New Roman" w:eastAsia="宋体" w:cs="Times New Roman"/>
                <w:color w:val="000000"/>
                <w:kern w:val="0"/>
                <w:sz w:val="22"/>
                <w:szCs w:val="22"/>
              </w:rPr>
              <w:t>ShareOpen</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ICAP</w:t>
            </w:r>
            <w:r>
              <w:rPr>
                <w:rFonts w:ascii="宋体" w:hAnsi="宋体" w:eastAsia="宋体" w:cs="宋体"/>
                <w:color w:val="000000"/>
                <w:kern w:val="0"/>
                <w:sz w:val="22"/>
                <w:szCs w:val="22"/>
              </w:rPr>
              <w:t>、按需扫描、实时扫描策略的防病毒扫描模式</w:t>
            </w:r>
          </w:p>
        </w:tc>
      </w:tr>
      <w:tr w14:paraId="0E7EDBB3">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2F023">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★掉电保护</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34BC6">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文件场景下，硬件设备包括保电内存、</w:t>
            </w:r>
            <w:r>
              <w:rPr>
                <w:rFonts w:ascii="Times New Roman" w:hAnsi="Times New Roman" w:eastAsia="宋体" w:cs="Times New Roman"/>
                <w:color w:val="000000"/>
                <w:kern w:val="0"/>
                <w:sz w:val="22"/>
                <w:szCs w:val="22"/>
              </w:rPr>
              <w:t>BBU</w:t>
            </w:r>
            <w:r>
              <w:rPr>
                <w:rFonts w:ascii="宋体" w:hAnsi="宋体" w:eastAsia="宋体" w:cs="宋体"/>
                <w:color w:val="000000"/>
                <w:kern w:val="0"/>
                <w:sz w:val="22"/>
                <w:szCs w:val="22"/>
              </w:rPr>
              <w:t>、</w:t>
            </w:r>
            <w:r>
              <w:rPr>
                <w:rFonts w:ascii="Times New Roman" w:hAnsi="Times New Roman" w:eastAsia="宋体" w:cs="Times New Roman"/>
                <w:color w:val="000000"/>
                <w:kern w:val="0"/>
                <w:sz w:val="22"/>
                <w:szCs w:val="22"/>
              </w:rPr>
              <w:t>SSD</w:t>
            </w:r>
            <w:r>
              <w:rPr>
                <w:rFonts w:ascii="宋体" w:hAnsi="宋体" w:eastAsia="宋体" w:cs="宋体"/>
                <w:color w:val="000000"/>
                <w:kern w:val="0"/>
                <w:sz w:val="22"/>
                <w:szCs w:val="22"/>
              </w:rPr>
              <w:t>缓存、主存盘具有数据存储保护能力，</w:t>
            </w:r>
            <w:r>
              <w:rPr>
                <w:rFonts w:ascii="Times New Roman" w:hAnsi="Times New Roman" w:eastAsia="宋体" w:cs="Times New Roman"/>
                <w:color w:val="000000"/>
                <w:kern w:val="0"/>
                <w:sz w:val="22"/>
                <w:szCs w:val="22"/>
              </w:rPr>
              <w:t>NFS/CIFS/POSIX/MPI-IO/FTP/FTPS</w:t>
            </w:r>
            <w:r>
              <w:rPr>
                <w:rFonts w:ascii="宋体" w:hAnsi="宋体" w:eastAsia="宋体" w:cs="宋体"/>
                <w:color w:val="000000"/>
                <w:kern w:val="0"/>
                <w:sz w:val="22"/>
                <w:szCs w:val="22"/>
              </w:rPr>
              <w:t>等协议的文件数据在断电后数据能够继续保存，提供具备</w:t>
            </w:r>
            <w:r>
              <w:rPr>
                <w:rFonts w:ascii="Times New Roman" w:hAnsi="Times New Roman" w:eastAsia="宋体" w:cs="Times New Roman"/>
                <w:color w:val="000000"/>
                <w:kern w:val="0"/>
                <w:sz w:val="22"/>
                <w:szCs w:val="22"/>
              </w:rPr>
              <w:t>CMA</w:t>
            </w:r>
            <w:r>
              <w:rPr>
                <w:rFonts w:ascii="宋体" w:hAnsi="宋体" w:eastAsia="宋体" w:cs="宋体"/>
                <w:color w:val="000000"/>
                <w:kern w:val="0"/>
                <w:sz w:val="22"/>
                <w:szCs w:val="22"/>
              </w:rPr>
              <w:t>或</w:t>
            </w:r>
            <w:r>
              <w:rPr>
                <w:rFonts w:ascii="Times New Roman" w:hAnsi="Times New Roman" w:eastAsia="宋体" w:cs="Times New Roman"/>
                <w:color w:val="000000"/>
                <w:kern w:val="0"/>
                <w:sz w:val="22"/>
                <w:szCs w:val="22"/>
              </w:rPr>
              <w:t>CNAS(</w:t>
            </w:r>
            <w:r>
              <w:rPr>
                <w:rFonts w:ascii="宋体" w:hAnsi="宋体" w:eastAsia="宋体" w:cs="宋体"/>
                <w:color w:val="000000"/>
                <w:kern w:val="0"/>
                <w:sz w:val="22"/>
                <w:szCs w:val="22"/>
              </w:rPr>
              <w:t>中国合格评定国家认可委员会</w:t>
            </w:r>
            <w:r>
              <w:rPr>
                <w:rFonts w:ascii="Times New Roman" w:hAnsi="Times New Roman" w:eastAsia="宋体" w:cs="Times New Roman"/>
                <w:color w:val="000000"/>
                <w:kern w:val="0"/>
                <w:sz w:val="22"/>
                <w:szCs w:val="22"/>
              </w:rPr>
              <w:t>)</w:t>
            </w:r>
            <w:r>
              <w:rPr>
                <w:rFonts w:ascii="宋体" w:hAnsi="宋体" w:eastAsia="宋体" w:cs="宋体"/>
                <w:color w:val="000000"/>
                <w:kern w:val="0"/>
                <w:sz w:val="22"/>
                <w:szCs w:val="22"/>
              </w:rPr>
              <w:t>资质的第三方权威评测机构签字盖章的测试报告，加盖存储投标人有效公章</w:t>
            </w:r>
            <w:r>
              <w:rPr>
                <w:rFonts w:ascii="Times New Roman" w:hAnsi="Times New Roman" w:eastAsia="宋体" w:cs="Times New Roman"/>
                <w:color w:val="000000"/>
                <w:kern w:val="0"/>
                <w:sz w:val="22"/>
                <w:szCs w:val="22"/>
              </w:rPr>
              <w:t xml:space="preserve"> </w:t>
            </w:r>
          </w:p>
        </w:tc>
      </w:tr>
      <w:tr w14:paraId="723E4362">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23BE">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多租户</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AEEF7">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支持多租户，每个租户可以在</w:t>
            </w:r>
            <w:r>
              <w:rPr>
                <w:rFonts w:ascii="Times New Roman" w:hAnsi="Times New Roman" w:eastAsia="宋体" w:cs="Times New Roman"/>
                <w:color w:val="000000"/>
                <w:kern w:val="0"/>
                <w:sz w:val="22"/>
                <w:szCs w:val="22"/>
              </w:rPr>
              <w:t>web</w:t>
            </w:r>
            <w:r>
              <w:rPr>
                <w:rFonts w:ascii="宋体" w:hAnsi="宋体" w:eastAsia="宋体" w:cs="宋体"/>
                <w:color w:val="000000"/>
                <w:kern w:val="0"/>
                <w:sz w:val="22"/>
                <w:szCs w:val="22"/>
              </w:rPr>
              <w:t>界面上配置不同业务网络</w:t>
            </w:r>
            <w:r>
              <w:rPr>
                <w:rFonts w:ascii="Times New Roman" w:hAnsi="Times New Roman" w:eastAsia="宋体" w:cs="Times New Roman"/>
                <w:color w:val="000000"/>
                <w:kern w:val="0"/>
                <w:sz w:val="22"/>
                <w:szCs w:val="22"/>
              </w:rPr>
              <w:t>VLAN</w:t>
            </w:r>
            <w:r>
              <w:rPr>
                <w:rFonts w:ascii="宋体" w:hAnsi="宋体" w:eastAsia="宋体" w:cs="宋体"/>
                <w:color w:val="000000"/>
                <w:kern w:val="0"/>
                <w:sz w:val="22"/>
                <w:szCs w:val="22"/>
              </w:rPr>
              <w:t>实现业务网络隔离，可基于租户设置域控、协议类型、</w:t>
            </w:r>
            <w:r>
              <w:rPr>
                <w:rFonts w:ascii="Times New Roman" w:hAnsi="Times New Roman" w:eastAsia="宋体" w:cs="Times New Roman"/>
                <w:color w:val="000000"/>
                <w:kern w:val="0"/>
                <w:sz w:val="22"/>
                <w:szCs w:val="22"/>
              </w:rPr>
              <w:t>Qos,</w:t>
            </w:r>
            <w:r>
              <w:rPr>
                <w:rFonts w:ascii="宋体" w:hAnsi="宋体" w:eastAsia="宋体" w:cs="宋体"/>
                <w:color w:val="000000"/>
                <w:kern w:val="0"/>
                <w:sz w:val="22"/>
                <w:szCs w:val="22"/>
              </w:rPr>
              <w:t>支持以租户为粒度进行元数据检索和审计日志查询，支持不同租户下创建同名的</w:t>
            </w:r>
            <w:r>
              <w:rPr>
                <w:rFonts w:ascii="Times New Roman" w:hAnsi="Times New Roman" w:eastAsia="宋体" w:cs="Times New Roman"/>
                <w:color w:val="000000"/>
                <w:kern w:val="0"/>
                <w:sz w:val="22"/>
                <w:szCs w:val="22"/>
              </w:rPr>
              <w:t>namespace(</w:t>
            </w:r>
            <w:r>
              <w:rPr>
                <w:rFonts w:ascii="宋体" w:hAnsi="宋体" w:eastAsia="宋体" w:cs="宋体"/>
                <w:color w:val="000000"/>
                <w:kern w:val="0"/>
                <w:sz w:val="22"/>
                <w:szCs w:val="22"/>
              </w:rPr>
              <w:t>根目录），管理界面支持租户管理员登录租户视图进行业务操作，租户管理员只能配置和查看该租户下的资源</w:t>
            </w:r>
          </w:p>
        </w:tc>
      </w:tr>
      <w:tr w14:paraId="33A70166">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ABF5A5">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▲配置要求</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B9C46">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整集群配置≥3节点，整集群基础可用容量≥1</w:t>
            </w:r>
            <w:r>
              <w:rPr>
                <w:rFonts w:ascii="宋体" w:hAnsi="宋体" w:eastAsia="宋体" w:cs="宋体"/>
                <w:color w:val="000000"/>
                <w:kern w:val="0"/>
                <w:sz w:val="22"/>
                <w:szCs w:val="22"/>
              </w:rPr>
              <w:t>.28</w:t>
            </w:r>
            <w:r>
              <w:rPr>
                <w:rFonts w:hint="eastAsia" w:ascii="宋体" w:hAnsi="宋体" w:eastAsia="宋体" w:cs="宋体"/>
                <w:color w:val="000000"/>
                <w:kern w:val="0"/>
                <w:sz w:val="22"/>
                <w:szCs w:val="22"/>
              </w:rPr>
              <w:t>PiB，数字化病理场景压缩后可用容量≥1</w:t>
            </w:r>
            <w:r>
              <w:rPr>
                <w:rFonts w:ascii="宋体" w:hAnsi="宋体" w:eastAsia="宋体" w:cs="宋体"/>
                <w:color w:val="000000"/>
                <w:kern w:val="0"/>
                <w:sz w:val="22"/>
                <w:szCs w:val="22"/>
              </w:rPr>
              <w:t>.92</w:t>
            </w:r>
            <w:r>
              <w:rPr>
                <w:rFonts w:hint="eastAsia" w:ascii="宋体" w:hAnsi="宋体" w:eastAsia="宋体" w:cs="宋体"/>
                <w:color w:val="000000"/>
                <w:kern w:val="0"/>
                <w:sz w:val="22"/>
                <w:szCs w:val="22"/>
              </w:rPr>
              <w:t>PiB（如无法提供场景化压缩能力，需提供同等基础可用容量），单节点配置要求如下：</w:t>
            </w:r>
          </w:p>
        </w:tc>
      </w:tr>
      <w:tr w14:paraId="6E695EE0">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28ED62F9">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AB7C9">
            <w:pPr>
              <w:widowControl/>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配置≥2</w:t>
            </w:r>
            <w:r>
              <w:rPr>
                <w:rFonts w:hint="eastAsia" w:ascii="Times New Roman" w:hAnsi="Times New Roman" w:eastAsia="宋体" w:cs="Times New Roman"/>
                <w:color w:val="000000"/>
                <w:kern w:val="0"/>
                <w:sz w:val="22"/>
                <w:szCs w:val="22"/>
              </w:rPr>
              <w:t>颗国产信创</w:t>
            </w:r>
            <w:r>
              <w:rPr>
                <w:rFonts w:ascii="Times New Roman" w:hAnsi="Times New Roman" w:eastAsia="宋体" w:cs="Times New Roman"/>
                <w:color w:val="000000"/>
                <w:kern w:val="0"/>
                <w:sz w:val="22"/>
                <w:szCs w:val="22"/>
              </w:rPr>
              <w:t>CPU（物理核心数≥48核，主频≥2.6GHz）</w:t>
            </w:r>
          </w:p>
        </w:tc>
      </w:tr>
      <w:tr w14:paraId="13A265DE">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5B69B4CE">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A1F60">
            <w:pPr>
              <w:widowControl/>
              <w:rPr>
                <w:rFonts w:ascii="宋体" w:hAnsi="宋体" w:eastAsia="宋体" w:cs="宋体"/>
                <w:color w:val="000000"/>
                <w:kern w:val="0"/>
                <w:sz w:val="22"/>
                <w:szCs w:val="22"/>
              </w:rPr>
            </w:pPr>
            <w:r>
              <w:rPr>
                <w:rFonts w:ascii="宋体" w:hAnsi="宋体" w:eastAsia="宋体" w:cs="宋体"/>
                <w:color w:val="000000"/>
                <w:kern w:val="0"/>
                <w:sz w:val="22"/>
                <w:szCs w:val="22"/>
              </w:rPr>
              <w:t>内存≥256</w:t>
            </w:r>
            <w:r>
              <w:rPr>
                <w:rFonts w:ascii="Times New Roman" w:hAnsi="Times New Roman" w:eastAsia="宋体" w:cs="Times New Roman"/>
                <w:color w:val="000000"/>
                <w:kern w:val="0"/>
                <w:sz w:val="22"/>
                <w:szCs w:val="22"/>
              </w:rPr>
              <w:t>GB</w:t>
            </w:r>
          </w:p>
        </w:tc>
      </w:tr>
      <w:tr w14:paraId="13D6D856">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582AADC5">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945C7">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配置≥8*25G以太网光口（含2个25G多模光模块+2个10G多模光模块）</w:t>
            </w:r>
          </w:p>
        </w:tc>
      </w:tr>
      <w:tr w14:paraId="01EA0AA7">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3436043B">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0CA0">
            <w:pPr>
              <w:widowControl/>
              <w:rPr>
                <w:rFonts w:ascii="宋体" w:hAnsi="宋体" w:eastAsia="宋体" w:cs="宋体"/>
                <w:color w:val="000000"/>
                <w:kern w:val="0"/>
                <w:sz w:val="22"/>
                <w:szCs w:val="22"/>
              </w:rPr>
            </w:pPr>
            <w:r>
              <w:rPr>
                <w:rFonts w:ascii="宋体" w:hAnsi="宋体" w:eastAsia="宋体" w:cs="宋体"/>
                <w:color w:val="000000"/>
                <w:kern w:val="0"/>
                <w:sz w:val="22"/>
                <w:szCs w:val="22"/>
              </w:rPr>
              <w:t>系统盘≥</w:t>
            </w:r>
            <w:r>
              <w:rPr>
                <w:rFonts w:ascii="Times New Roman" w:hAnsi="Times New Roman" w:eastAsia="宋体" w:cs="Times New Roman"/>
                <w:color w:val="000000"/>
                <w:kern w:val="0"/>
                <w:sz w:val="22"/>
                <w:szCs w:val="22"/>
              </w:rPr>
              <w:t>2*480GB SSD</w:t>
            </w:r>
            <w:r>
              <w:rPr>
                <w:rFonts w:ascii="宋体" w:hAnsi="宋体" w:eastAsia="宋体" w:cs="宋体"/>
                <w:color w:val="000000"/>
                <w:kern w:val="0"/>
                <w:sz w:val="22"/>
                <w:szCs w:val="22"/>
              </w:rPr>
              <w:t>硬盘</w:t>
            </w:r>
          </w:p>
        </w:tc>
      </w:tr>
      <w:tr w14:paraId="075A3572">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0AA768CF">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9342">
            <w:pPr>
              <w:widowControl/>
              <w:rPr>
                <w:rFonts w:ascii="宋体" w:hAnsi="宋体" w:eastAsia="宋体" w:cs="宋体"/>
                <w:color w:val="000000"/>
                <w:kern w:val="0"/>
                <w:sz w:val="22"/>
                <w:szCs w:val="22"/>
              </w:rPr>
            </w:pPr>
            <w:r>
              <w:rPr>
                <w:rFonts w:ascii="宋体" w:hAnsi="宋体" w:eastAsia="宋体" w:cs="宋体"/>
                <w:color w:val="000000"/>
                <w:kern w:val="0"/>
                <w:sz w:val="22"/>
                <w:szCs w:val="22"/>
              </w:rPr>
              <w:t>缓存盘≥1</w:t>
            </w:r>
            <w:r>
              <w:rPr>
                <w:rFonts w:ascii="Times New Roman" w:hAnsi="Times New Roman" w:eastAsia="宋体" w:cs="Times New Roman"/>
                <w:color w:val="000000"/>
                <w:kern w:val="0"/>
                <w:sz w:val="22"/>
                <w:szCs w:val="22"/>
              </w:rPr>
              <w:t>*3.2TB SSD NVMe</w:t>
            </w:r>
            <w:r>
              <w:rPr>
                <w:rFonts w:ascii="宋体" w:hAnsi="宋体" w:eastAsia="宋体" w:cs="宋体"/>
                <w:color w:val="000000"/>
                <w:kern w:val="0"/>
                <w:sz w:val="22"/>
                <w:szCs w:val="22"/>
              </w:rPr>
              <w:t>硬盘</w:t>
            </w:r>
          </w:p>
        </w:tc>
      </w:tr>
      <w:tr w14:paraId="6E5FD6F6">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2AC0FEE1">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B483">
            <w:pPr>
              <w:widowControl/>
              <w:rPr>
                <w:rFonts w:ascii="宋体" w:hAnsi="宋体" w:eastAsia="宋体" w:cs="宋体"/>
                <w:color w:val="000000"/>
                <w:kern w:val="0"/>
                <w:sz w:val="22"/>
                <w:szCs w:val="22"/>
              </w:rPr>
            </w:pPr>
            <w:r>
              <w:rPr>
                <w:rFonts w:ascii="宋体" w:hAnsi="宋体" w:eastAsia="宋体" w:cs="宋体"/>
                <w:color w:val="000000"/>
                <w:kern w:val="0"/>
                <w:sz w:val="22"/>
                <w:szCs w:val="22"/>
              </w:rPr>
              <w:t>数据盘≥38</w:t>
            </w:r>
            <w:r>
              <w:rPr>
                <w:rFonts w:ascii="Times New Roman" w:hAnsi="Times New Roman" w:eastAsia="宋体" w:cs="Times New Roman"/>
                <w:color w:val="000000"/>
                <w:kern w:val="0"/>
                <w:sz w:val="22"/>
                <w:szCs w:val="22"/>
              </w:rPr>
              <w:t>*20TB 7.2K RPM SATA</w:t>
            </w:r>
            <w:r>
              <w:rPr>
                <w:rFonts w:ascii="宋体" w:hAnsi="宋体" w:eastAsia="宋体" w:cs="宋体"/>
                <w:color w:val="000000"/>
                <w:kern w:val="0"/>
                <w:sz w:val="22"/>
                <w:szCs w:val="22"/>
              </w:rPr>
              <w:t>硬盘</w:t>
            </w:r>
          </w:p>
        </w:tc>
      </w:tr>
      <w:tr w14:paraId="3F9801C8">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67F3E">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维保服务</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C72AB">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提供原厂</w:t>
            </w:r>
            <w:r>
              <w:rPr>
                <w:rFonts w:hint="eastAsia" w:ascii="宋体" w:hAnsi="宋体" w:eastAsia="宋体" w:cs="宋体"/>
                <w:color w:val="000000"/>
                <w:kern w:val="0"/>
                <w:sz w:val="22"/>
                <w:szCs w:val="22"/>
              </w:rPr>
              <w:t>三</w:t>
            </w:r>
            <w:r>
              <w:rPr>
                <w:rFonts w:ascii="宋体" w:hAnsi="宋体" w:eastAsia="宋体" w:cs="宋体"/>
                <w:color w:val="000000"/>
                <w:kern w:val="0"/>
                <w:sz w:val="22"/>
                <w:szCs w:val="22"/>
              </w:rPr>
              <w:t>年维保服务，中标后签合同前提供原厂售后服务承诺函盖章原件；设备生产商需在国内设有</w:t>
            </w:r>
            <w:r>
              <w:rPr>
                <w:rFonts w:ascii="Times New Roman" w:hAnsi="Times New Roman" w:eastAsia="宋体" w:cs="Times New Roman"/>
                <w:color w:val="000000"/>
                <w:kern w:val="0"/>
                <w:sz w:val="22"/>
                <w:szCs w:val="22"/>
              </w:rPr>
              <w:t>400</w:t>
            </w:r>
            <w:r>
              <w:rPr>
                <w:rFonts w:ascii="宋体" w:hAnsi="宋体" w:eastAsia="宋体" w:cs="宋体"/>
                <w:color w:val="000000"/>
                <w:kern w:val="0"/>
                <w:sz w:val="22"/>
                <w:szCs w:val="22"/>
              </w:rPr>
              <w:t>技术服务热线</w:t>
            </w:r>
          </w:p>
        </w:tc>
      </w:tr>
    </w:tbl>
    <w:p w14:paraId="22467036">
      <w:pPr>
        <w:rPr>
          <w:rFonts w:ascii="宋体" w:hAnsi="宋体" w:eastAsia="宋体" w:cs="宋体"/>
          <w:kern w:val="0"/>
          <w:sz w:val="22"/>
          <w:szCs w:val="22"/>
          <w14:ligatures w14:val="standardContextual"/>
        </w:rPr>
      </w:pPr>
    </w:p>
    <w:p w14:paraId="36A68FAB">
      <w:pPr>
        <w:pStyle w:val="21"/>
        <w:numPr>
          <w:ilvl w:val="0"/>
          <w:numId w:val="2"/>
        </w:numPr>
        <w:spacing w:line="360" w:lineRule="auto"/>
        <w:ind w:firstLineChars="0"/>
        <w:rPr>
          <w:rFonts w:ascii="宋体" w:hAnsi="宋体" w:eastAsia="宋体" w:cs="宋体"/>
          <w:b/>
          <w:kern w:val="0"/>
          <w:sz w:val="24"/>
          <w14:ligatures w14:val="standardContextual"/>
        </w:rPr>
      </w:pPr>
      <w:r>
        <w:rPr>
          <w:rFonts w:hint="eastAsia" w:ascii="宋体" w:hAnsi="宋体" w:eastAsia="宋体" w:cs="宋体"/>
          <w:b/>
          <w:kern w:val="0"/>
          <w:sz w:val="24"/>
          <w14:ligatures w14:val="standardContextual"/>
        </w:rPr>
        <w:t>后端互联交换机（2台）</w:t>
      </w:r>
    </w:p>
    <w:tbl>
      <w:tblPr>
        <w:tblStyle w:val="8"/>
        <w:tblW w:w="0" w:type="auto"/>
        <w:tblInd w:w="-5" w:type="dxa"/>
        <w:tblLayout w:type="fixed"/>
        <w:tblCellMar>
          <w:top w:w="0" w:type="dxa"/>
          <w:left w:w="108" w:type="dxa"/>
          <w:bottom w:w="0" w:type="dxa"/>
          <w:right w:w="108" w:type="dxa"/>
        </w:tblCellMar>
      </w:tblPr>
      <w:tblGrid>
        <w:gridCol w:w="1701"/>
        <w:gridCol w:w="6600"/>
      </w:tblGrid>
      <w:tr w14:paraId="33885897">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9EE03">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功能项</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CC182">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技术指标</w:t>
            </w:r>
          </w:p>
        </w:tc>
      </w:tr>
      <w:tr w14:paraId="5F9D38FD">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B73D2">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基本要求</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70666">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交换容量≥8Tbps；包转发率≥2400Mpps（以官网小值为准）</w:t>
            </w:r>
          </w:p>
        </w:tc>
      </w:tr>
      <w:tr w14:paraId="6B8C3FAF">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nil"/>
              <w:right w:val="single" w:color="000000" w:sz="4" w:space="0"/>
            </w:tcBorders>
            <w:shd w:val="clear" w:color="auto" w:fill="auto"/>
            <w:vAlign w:val="center"/>
          </w:tcPr>
          <w:p w14:paraId="2DA03C1F">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硬件规格</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458E">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25</w:t>
            </w:r>
            <w:r>
              <w:rPr>
                <w:rFonts w:hint="eastAsia" w:ascii="宋体" w:hAnsi="宋体" w:eastAsia="宋体" w:cs="宋体"/>
                <w:color w:val="000000"/>
                <w:kern w:val="0"/>
                <w:sz w:val="22"/>
                <w:szCs w:val="22"/>
              </w:rPr>
              <w:t>G光接口≥</w:t>
            </w:r>
            <w:r>
              <w:rPr>
                <w:rFonts w:ascii="宋体" w:hAnsi="宋体" w:eastAsia="宋体" w:cs="宋体"/>
                <w:color w:val="000000"/>
                <w:kern w:val="0"/>
                <w:sz w:val="22"/>
                <w:szCs w:val="22"/>
              </w:rPr>
              <w:t>48</w:t>
            </w:r>
            <w:r>
              <w:rPr>
                <w:rFonts w:hint="eastAsia" w:ascii="宋体" w:hAnsi="宋体" w:eastAsia="宋体" w:cs="宋体"/>
                <w:color w:val="000000"/>
                <w:kern w:val="0"/>
                <w:sz w:val="22"/>
                <w:szCs w:val="22"/>
              </w:rPr>
              <w:t>个，</w:t>
            </w:r>
            <w:r>
              <w:rPr>
                <w:rFonts w:ascii="宋体" w:hAnsi="宋体" w:eastAsia="宋体" w:cs="宋体"/>
                <w:color w:val="000000"/>
                <w:kern w:val="0"/>
                <w:sz w:val="22"/>
                <w:szCs w:val="22"/>
              </w:rPr>
              <w:t>1</w:t>
            </w:r>
            <w:r>
              <w:rPr>
                <w:rFonts w:hint="eastAsia" w:ascii="宋体" w:hAnsi="宋体" w:eastAsia="宋体" w:cs="宋体"/>
                <w:color w:val="000000"/>
                <w:kern w:val="0"/>
                <w:sz w:val="22"/>
                <w:szCs w:val="22"/>
              </w:rPr>
              <w:t>00G光接口≥</w:t>
            </w:r>
            <w:r>
              <w:rPr>
                <w:rFonts w:ascii="宋体" w:hAnsi="宋体" w:eastAsia="宋体" w:cs="宋体"/>
                <w:color w:val="000000"/>
                <w:kern w:val="0"/>
                <w:sz w:val="22"/>
                <w:szCs w:val="22"/>
              </w:rPr>
              <w:t>8</w:t>
            </w:r>
            <w:r>
              <w:rPr>
                <w:rFonts w:hint="eastAsia" w:ascii="宋体" w:hAnsi="宋体" w:eastAsia="宋体" w:cs="宋体"/>
                <w:color w:val="000000"/>
                <w:kern w:val="0"/>
                <w:sz w:val="22"/>
                <w:szCs w:val="22"/>
              </w:rPr>
              <w:t>个</w:t>
            </w:r>
          </w:p>
        </w:tc>
      </w:tr>
      <w:tr w14:paraId="6AECB390">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nil"/>
              <w:right w:val="single" w:color="000000" w:sz="4" w:space="0"/>
            </w:tcBorders>
            <w:vAlign w:val="center"/>
          </w:tcPr>
          <w:p w14:paraId="7E741A60">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D42E">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★CPU（处理器）、LSW（转发芯片）均为国产化芯片，提供CMA资质的权威第三方报告证明</w:t>
            </w:r>
          </w:p>
        </w:tc>
      </w:tr>
      <w:tr w14:paraId="4769478B">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nil"/>
              <w:right w:val="single" w:color="000000" w:sz="4" w:space="0"/>
            </w:tcBorders>
            <w:vAlign w:val="center"/>
          </w:tcPr>
          <w:p w14:paraId="15B186C3">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BAC99">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电源模块槽位≥2个，电源1+1备份；</w:t>
            </w:r>
          </w:p>
        </w:tc>
      </w:tr>
      <w:tr w14:paraId="4F5127DC">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EA70CB">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二层功能</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5F8A8">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支持Access、Trunk和Hybrid三种模式</w:t>
            </w:r>
          </w:p>
        </w:tc>
      </w:tr>
      <w:tr w14:paraId="3473A65D">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77731329">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30FD9">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支持M-LAG或vPC或DRNI等跨机箱链路捆绑技术</w:t>
            </w:r>
          </w:p>
        </w:tc>
      </w:tr>
      <w:tr w14:paraId="46B59EC3">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53C20FE8">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9141E">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M-LAG（或vPC或DRNI）支持一致性检查、维护模式无损升级、协议认证等功能</w:t>
            </w:r>
          </w:p>
        </w:tc>
      </w:tr>
      <w:tr w14:paraId="7F0068C3">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986CD7">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三层功能</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45151">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支持RIP、OSPF、ISIS、BGP等IPv4动态路由协议</w:t>
            </w:r>
          </w:p>
        </w:tc>
      </w:tr>
      <w:tr w14:paraId="284FEA9E">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4DC006F6">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7EA9A">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支持RIPng、OSPFv3、ISISv6、BGP4+等IPv6动态路由协议</w:t>
            </w:r>
          </w:p>
        </w:tc>
      </w:tr>
      <w:tr w14:paraId="3E2B5489">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1CE86C9E">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BAC3D">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支持BFD for OSPF，BGP，IS-IS，静态路由</w:t>
            </w:r>
          </w:p>
        </w:tc>
      </w:tr>
      <w:tr w14:paraId="2149F838">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6E456">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QoS</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2858A">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支持出方向ACL，支持出方向ACL限速，支持出方向IPv6 报文统计</w:t>
            </w:r>
          </w:p>
        </w:tc>
      </w:tr>
      <w:tr w14:paraId="0EAAA505">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2DC44434">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39C8">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支持基于VLAN/子接口/BD/VxLAN 隧道的MAC-LIMIT</w:t>
            </w:r>
          </w:p>
        </w:tc>
      </w:tr>
      <w:tr w14:paraId="0E7D88F9">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438971DB">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1AB83">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支持MAC 漂移联动端口 error-down，提供CMA资质的权威第三方报告证明</w:t>
            </w:r>
          </w:p>
        </w:tc>
      </w:tr>
      <w:tr w14:paraId="2F7C3082">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FC7DC5">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可靠性</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1A2B7">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支持BFD 3.3ms检测间隔</w:t>
            </w:r>
          </w:p>
        </w:tc>
      </w:tr>
      <w:tr w14:paraId="4575B60D">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4A5DAB24">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B5B99">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★支持数据面故障快速自愈，提供CMA资质的权威第三方报告证明</w:t>
            </w:r>
          </w:p>
        </w:tc>
      </w:tr>
      <w:tr w14:paraId="7B3B741C">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4FD5F6C6">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8F2E7">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★支持静默故障识别，提供CMA资质的权威第三方报告证明</w:t>
            </w:r>
          </w:p>
        </w:tc>
      </w:tr>
      <w:tr w14:paraId="75A755EF">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6177">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安全性</w:t>
            </w:r>
          </w:p>
        </w:tc>
        <w:tc>
          <w:tcPr>
            <w:tcW w:w="6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1DF7C">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支持SSH管理安全：包括默认安全、禁止全零监听、完备国密算法SM2/SM3/SM4</w:t>
            </w:r>
          </w:p>
        </w:tc>
      </w:tr>
      <w:tr w14:paraId="2756D146">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2F98B360">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645F7">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★支持MacSec国密加密，提供CMA资质的权威第三方报告证明</w:t>
            </w:r>
          </w:p>
        </w:tc>
      </w:tr>
      <w:tr w14:paraId="7609752B">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A73B47">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组播</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9EC42">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支持组播流量抑制</w:t>
            </w:r>
          </w:p>
        </w:tc>
      </w:tr>
      <w:tr w14:paraId="724F781C">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63E0E09D">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5D9C0">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支持IGMP Snooping</w:t>
            </w:r>
          </w:p>
        </w:tc>
      </w:tr>
      <w:tr w14:paraId="6C4B1406">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BFB072">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智能无损特性</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035E">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支持PFC，支持PFC死锁预防</w:t>
            </w:r>
          </w:p>
        </w:tc>
      </w:tr>
      <w:tr w14:paraId="5BC8D395">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174C1328">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AB70">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支持RDMA,RoCEv2,DCB，AI ECN</w:t>
            </w:r>
          </w:p>
        </w:tc>
      </w:tr>
      <w:tr w14:paraId="6966FC1A">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4269EA8C">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DA84">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★支持网络级负载均衡功能，提供CMA资质的权威第三方报告证明</w:t>
            </w:r>
          </w:p>
        </w:tc>
      </w:tr>
      <w:tr w14:paraId="2B9DED8C">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25EEB">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配置和维护</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01F4F">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支持随流检测功能</w:t>
            </w:r>
          </w:p>
        </w:tc>
      </w:tr>
      <w:tr w14:paraId="416BBD13">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64AED126">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8EF9">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★支持Packet Event丢包可视、超长时延可视，提供CMA资质的权威第三方报告证明</w:t>
            </w:r>
          </w:p>
        </w:tc>
      </w:tr>
      <w:tr w14:paraId="4C55E45D">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15AD7">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实配</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6DB40">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配置≥</w:t>
            </w:r>
            <w:r>
              <w:rPr>
                <w:rFonts w:ascii="宋体" w:hAnsi="宋体" w:eastAsia="宋体" w:cs="宋体"/>
                <w:color w:val="000000"/>
                <w:kern w:val="0"/>
                <w:sz w:val="22"/>
                <w:szCs w:val="22"/>
              </w:rPr>
              <w:t>3</w:t>
            </w:r>
            <w:r>
              <w:rPr>
                <w:rFonts w:hint="eastAsia" w:ascii="宋体" w:hAnsi="宋体" w:eastAsia="宋体" w:cs="宋体"/>
                <w:color w:val="000000"/>
                <w:kern w:val="0"/>
                <w:sz w:val="22"/>
                <w:szCs w:val="22"/>
              </w:rPr>
              <w:t>个</w:t>
            </w:r>
            <w:r>
              <w:rPr>
                <w:rFonts w:ascii="宋体" w:hAnsi="宋体" w:eastAsia="宋体" w:cs="宋体"/>
                <w:color w:val="000000"/>
                <w:kern w:val="0"/>
                <w:sz w:val="22"/>
                <w:szCs w:val="22"/>
              </w:rPr>
              <w:t>25</w:t>
            </w:r>
            <w:r>
              <w:rPr>
                <w:rFonts w:hint="eastAsia" w:ascii="宋体" w:hAnsi="宋体" w:eastAsia="宋体" w:cs="宋体"/>
                <w:color w:val="000000"/>
                <w:kern w:val="0"/>
                <w:sz w:val="22"/>
                <w:szCs w:val="22"/>
              </w:rPr>
              <w:t xml:space="preserve">G多模光模块，2个交流电源，1根100G </w:t>
            </w:r>
            <w:r>
              <w:rPr>
                <w:rFonts w:ascii="宋体" w:hAnsi="宋体" w:eastAsia="宋体" w:cs="宋体"/>
                <w:color w:val="000000"/>
                <w:kern w:val="0"/>
                <w:sz w:val="22"/>
                <w:szCs w:val="22"/>
              </w:rPr>
              <w:t>1</w:t>
            </w:r>
            <w:r>
              <w:rPr>
                <w:rFonts w:hint="eastAsia" w:ascii="宋体" w:hAnsi="宋体" w:eastAsia="宋体" w:cs="宋体"/>
                <w:color w:val="000000"/>
                <w:kern w:val="0"/>
                <w:sz w:val="22"/>
                <w:szCs w:val="22"/>
              </w:rPr>
              <w:t>米堆叠线缆，智能无损Roce网络功能授权</w:t>
            </w:r>
          </w:p>
        </w:tc>
      </w:tr>
      <w:tr w14:paraId="66964906">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6B3E1">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维保服务</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F8E63">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提供原厂三年维保服务，中标后签合同前提供原厂售后服务承诺函盖章原件；设备生产商需在国内设有400技术服务热线</w:t>
            </w:r>
          </w:p>
        </w:tc>
      </w:tr>
    </w:tbl>
    <w:p w14:paraId="6D9229C6">
      <w:pPr>
        <w:pStyle w:val="21"/>
        <w:numPr>
          <w:ilvl w:val="0"/>
          <w:numId w:val="2"/>
        </w:numPr>
        <w:spacing w:line="360" w:lineRule="auto"/>
        <w:ind w:firstLineChars="0"/>
        <w:rPr>
          <w:rFonts w:ascii="宋体" w:hAnsi="宋体" w:eastAsia="宋体" w:cs="宋体"/>
          <w:b/>
          <w:kern w:val="0"/>
          <w:sz w:val="24"/>
          <w14:ligatures w14:val="standardContextual"/>
        </w:rPr>
      </w:pPr>
      <w:r>
        <w:rPr>
          <w:rFonts w:hint="eastAsia" w:ascii="宋体" w:hAnsi="宋体" w:eastAsia="宋体" w:cs="宋体"/>
          <w:b/>
          <w:kern w:val="0"/>
          <w:sz w:val="24"/>
          <w14:ligatures w14:val="standardContextual"/>
        </w:rPr>
        <w:t>业务接入交换机（2台）</w:t>
      </w:r>
    </w:p>
    <w:tbl>
      <w:tblPr>
        <w:tblStyle w:val="8"/>
        <w:tblW w:w="0" w:type="auto"/>
        <w:tblInd w:w="-5" w:type="dxa"/>
        <w:tblLayout w:type="fixed"/>
        <w:tblCellMar>
          <w:top w:w="0" w:type="dxa"/>
          <w:left w:w="108" w:type="dxa"/>
          <w:bottom w:w="0" w:type="dxa"/>
          <w:right w:w="108" w:type="dxa"/>
        </w:tblCellMar>
      </w:tblPr>
      <w:tblGrid>
        <w:gridCol w:w="1701"/>
        <w:gridCol w:w="6600"/>
      </w:tblGrid>
      <w:tr w14:paraId="0E11BAB3">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0CA93">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功能项</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83EE5">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技术指标</w:t>
            </w:r>
          </w:p>
        </w:tc>
      </w:tr>
      <w:tr w14:paraId="61E05AE9">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420E5">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基本要求</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D00D">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交换容量≥</w:t>
            </w:r>
            <w:r>
              <w:rPr>
                <w:rFonts w:ascii="宋体" w:hAnsi="宋体" w:eastAsia="宋体" w:cs="宋体"/>
                <w:color w:val="000000"/>
                <w:kern w:val="0"/>
                <w:sz w:val="22"/>
                <w:szCs w:val="22"/>
              </w:rPr>
              <w:t>2.5</w:t>
            </w:r>
            <w:r>
              <w:rPr>
                <w:rFonts w:hint="eastAsia" w:ascii="宋体" w:hAnsi="宋体" w:eastAsia="宋体" w:cs="宋体"/>
                <w:color w:val="000000"/>
                <w:kern w:val="0"/>
                <w:sz w:val="22"/>
                <w:szCs w:val="22"/>
              </w:rPr>
              <w:t>Tbps；包转发率≥</w:t>
            </w:r>
            <w:r>
              <w:rPr>
                <w:rFonts w:ascii="宋体" w:hAnsi="宋体" w:eastAsia="宋体" w:cs="宋体"/>
                <w:color w:val="000000"/>
                <w:kern w:val="0"/>
                <w:sz w:val="22"/>
                <w:szCs w:val="22"/>
              </w:rPr>
              <w:t>100</w:t>
            </w:r>
            <w:r>
              <w:rPr>
                <w:rFonts w:hint="eastAsia" w:ascii="宋体" w:hAnsi="宋体" w:eastAsia="宋体" w:cs="宋体"/>
                <w:color w:val="000000"/>
                <w:kern w:val="0"/>
                <w:sz w:val="22"/>
                <w:szCs w:val="22"/>
              </w:rPr>
              <w:t>0Mpps（以官网小值为准）</w:t>
            </w:r>
          </w:p>
        </w:tc>
      </w:tr>
      <w:tr w14:paraId="4A00A607">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nil"/>
              <w:right w:val="single" w:color="000000" w:sz="4" w:space="0"/>
            </w:tcBorders>
            <w:shd w:val="clear" w:color="auto" w:fill="auto"/>
            <w:vAlign w:val="center"/>
          </w:tcPr>
          <w:p w14:paraId="770C94D4">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硬件规格</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67058">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10</w:t>
            </w:r>
            <w:r>
              <w:rPr>
                <w:rFonts w:hint="eastAsia" w:ascii="宋体" w:hAnsi="宋体" w:eastAsia="宋体" w:cs="宋体"/>
                <w:color w:val="000000"/>
                <w:kern w:val="0"/>
                <w:sz w:val="22"/>
                <w:szCs w:val="22"/>
              </w:rPr>
              <w:t>G光接口≥48个，100G光接口≥6个</w:t>
            </w:r>
          </w:p>
        </w:tc>
      </w:tr>
      <w:tr w14:paraId="4C44DF1D">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nil"/>
              <w:right w:val="single" w:color="000000" w:sz="4" w:space="0"/>
            </w:tcBorders>
            <w:vAlign w:val="center"/>
          </w:tcPr>
          <w:p w14:paraId="15EE2E04">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1043">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★CPU（处理器）、LSW（转发芯片）均为国产化芯片，提供CMA资质的权威第三方报告证明</w:t>
            </w:r>
          </w:p>
        </w:tc>
      </w:tr>
      <w:tr w14:paraId="0C0234B0">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nil"/>
              <w:right w:val="single" w:color="000000" w:sz="4" w:space="0"/>
            </w:tcBorders>
            <w:vAlign w:val="center"/>
          </w:tcPr>
          <w:p w14:paraId="09303048">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FE58">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电源模块槽位≥2个，电源1+1备份；</w:t>
            </w:r>
          </w:p>
        </w:tc>
      </w:tr>
      <w:tr w14:paraId="3246193E">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ABF8B0">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二层功能</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4CFC">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支持Access、Trunk和Hybrid三种模式</w:t>
            </w:r>
          </w:p>
        </w:tc>
      </w:tr>
      <w:tr w14:paraId="18184B8D">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4643341E">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3F83">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支持M-LAG或vPC或DRNI等跨机箱链路捆绑技术</w:t>
            </w:r>
          </w:p>
        </w:tc>
      </w:tr>
      <w:tr w14:paraId="15F810BB">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77171438">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AACB">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M-LAG（或vPC或DRNI）支持一致性检查、维护模式无损升级、协议认证等功能</w:t>
            </w:r>
          </w:p>
        </w:tc>
      </w:tr>
      <w:tr w14:paraId="64F2CA44">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A68762">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三层功能</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4B64F">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支持RIP、OSPF、ISIS、BGP等IPv4动态路由协议</w:t>
            </w:r>
          </w:p>
        </w:tc>
      </w:tr>
      <w:tr w14:paraId="780738BC">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51467D2D">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D0576">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支持RIPng、OSPFv3、ISISv6、BGP4+等IPv6动态路由协议</w:t>
            </w:r>
          </w:p>
        </w:tc>
      </w:tr>
      <w:tr w14:paraId="2D724AA9">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48187F54">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99D3E">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支持BFD for OSPF，BGP，IS-IS，静态路由</w:t>
            </w:r>
          </w:p>
        </w:tc>
      </w:tr>
      <w:tr w14:paraId="129B197C">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7080B">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QoS</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4EE2">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支持出方向ACL，支持出方向ACL限速，支持出方向IPv6 报文统计</w:t>
            </w:r>
          </w:p>
        </w:tc>
      </w:tr>
      <w:tr w14:paraId="1BA40889">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632D544E">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1F42">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支持基于VLAN/子接口/BD/VxLAN 隧道的MAC-LIMIT</w:t>
            </w:r>
          </w:p>
        </w:tc>
      </w:tr>
      <w:tr w14:paraId="4CFBCC91">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7EE83646">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718B6">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支持MAC 漂移联动端口 error-down</w:t>
            </w:r>
            <w:r>
              <w:rPr>
                <w:rFonts w:ascii="宋体" w:hAnsi="宋体" w:eastAsia="宋体" w:cs="宋体"/>
                <w:color w:val="000000"/>
                <w:kern w:val="0"/>
                <w:sz w:val="22"/>
                <w:szCs w:val="22"/>
              </w:rPr>
              <w:t xml:space="preserve"> </w:t>
            </w:r>
          </w:p>
        </w:tc>
      </w:tr>
      <w:tr w14:paraId="4A2A9732">
        <w:tblPrEx>
          <w:tblCellMar>
            <w:top w:w="0" w:type="dxa"/>
            <w:left w:w="108" w:type="dxa"/>
            <w:bottom w:w="0" w:type="dxa"/>
            <w:right w:w="108" w:type="dxa"/>
          </w:tblCellMar>
        </w:tblPrEx>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0FAA90">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组播</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F1F24">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支持组播流量抑制</w:t>
            </w:r>
          </w:p>
        </w:tc>
      </w:tr>
      <w:tr w14:paraId="3FDB56C7">
        <w:tblPrEx>
          <w:tblCellMar>
            <w:top w:w="0" w:type="dxa"/>
            <w:left w:w="108" w:type="dxa"/>
            <w:bottom w:w="0" w:type="dxa"/>
            <w:right w:w="108" w:type="dxa"/>
          </w:tblCellMar>
        </w:tblPrEx>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5EF74150">
            <w:pPr>
              <w:widowControl/>
              <w:jc w:val="left"/>
              <w:rPr>
                <w:rFonts w:ascii="宋体" w:hAnsi="宋体" w:eastAsia="宋体" w:cs="宋体"/>
                <w:color w:val="000000"/>
                <w:kern w:val="0"/>
                <w:sz w:val="22"/>
                <w:szCs w:val="22"/>
              </w:rPr>
            </w:pP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18655">
            <w:pPr>
              <w:widowControl/>
              <w:rPr>
                <w:rFonts w:ascii="宋体" w:hAnsi="宋体" w:eastAsia="宋体" w:cs="宋体"/>
                <w:color w:val="000000"/>
                <w:kern w:val="0"/>
                <w:sz w:val="22"/>
                <w:szCs w:val="22"/>
              </w:rPr>
            </w:pPr>
            <w:r>
              <w:rPr>
                <w:rFonts w:ascii="宋体" w:hAnsi="宋体" w:eastAsia="宋体" w:cs="宋体"/>
                <w:color w:val="000000"/>
                <w:kern w:val="0"/>
                <w:sz w:val="22"/>
                <w:szCs w:val="22"/>
              </w:rPr>
              <w:t>支持IGMP Snooping</w:t>
            </w:r>
          </w:p>
        </w:tc>
      </w:tr>
      <w:tr w14:paraId="481BF14C">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642D7">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实配</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EFB50">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配置≥</w:t>
            </w:r>
            <w:r>
              <w:rPr>
                <w:rFonts w:ascii="宋体" w:hAnsi="宋体" w:eastAsia="宋体" w:cs="宋体"/>
                <w:color w:val="000000"/>
                <w:kern w:val="0"/>
                <w:sz w:val="22"/>
                <w:szCs w:val="22"/>
              </w:rPr>
              <w:t>10</w:t>
            </w:r>
            <w:r>
              <w:rPr>
                <w:rFonts w:hint="eastAsia" w:ascii="宋体" w:hAnsi="宋体" w:eastAsia="宋体" w:cs="宋体"/>
                <w:color w:val="000000"/>
                <w:kern w:val="0"/>
                <w:sz w:val="22"/>
                <w:szCs w:val="22"/>
              </w:rPr>
              <w:t>个</w:t>
            </w:r>
            <w:r>
              <w:rPr>
                <w:rFonts w:ascii="宋体" w:hAnsi="宋体" w:eastAsia="宋体" w:cs="宋体"/>
                <w:color w:val="000000"/>
                <w:kern w:val="0"/>
                <w:sz w:val="22"/>
                <w:szCs w:val="22"/>
              </w:rPr>
              <w:t>10</w:t>
            </w:r>
            <w:r>
              <w:rPr>
                <w:rFonts w:hint="eastAsia" w:ascii="宋体" w:hAnsi="宋体" w:eastAsia="宋体" w:cs="宋体"/>
                <w:color w:val="000000"/>
                <w:kern w:val="0"/>
                <w:sz w:val="22"/>
                <w:szCs w:val="22"/>
              </w:rPr>
              <w:t xml:space="preserve">G多模光模块，2个交流电源，1根100G </w:t>
            </w:r>
            <w:r>
              <w:rPr>
                <w:rFonts w:ascii="宋体" w:hAnsi="宋体" w:eastAsia="宋体" w:cs="宋体"/>
                <w:color w:val="000000"/>
                <w:kern w:val="0"/>
                <w:sz w:val="22"/>
                <w:szCs w:val="22"/>
              </w:rPr>
              <w:t>1</w:t>
            </w:r>
            <w:r>
              <w:rPr>
                <w:rFonts w:hint="eastAsia" w:ascii="宋体" w:hAnsi="宋体" w:eastAsia="宋体" w:cs="宋体"/>
                <w:color w:val="000000"/>
                <w:kern w:val="0"/>
                <w:sz w:val="22"/>
                <w:szCs w:val="22"/>
              </w:rPr>
              <w:t>米堆叠线缆</w:t>
            </w:r>
          </w:p>
        </w:tc>
      </w:tr>
      <w:tr w14:paraId="49C0A980">
        <w:tblPrEx>
          <w:tblCellMar>
            <w:top w:w="0" w:type="dxa"/>
            <w:left w:w="108" w:type="dxa"/>
            <w:bottom w:w="0" w:type="dxa"/>
            <w:right w:w="108" w:type="dxa"/>
          </w:tblCellMar>
        </w:tblPrEx>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C427">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维保服务</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5FA51">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提供原厂三年维保服务，中标后签合同前提供原厂售后服务承诺函盖章原件；设备生产商需在国内设有400技术服务热线</w:t>
            </w:r>
          </w:p>
        </w:tc>
      </w:tr>
    </w:tbl>
    <w:p w14:paraId="449A17DE">
      <w:pPr>
        <w:pStyle w:val="21"/>
        <w:numPr>
          <w:ilvl w:val="0"/>
          <w:numId w:val="2"/>
        </w:numPr>
        <w:spacing w:line="360" w:lineRule="auto"/>
        <w:ind w:firstLineChars="0"/>
        <w:rPr>
          <w:rFonts w:ascii="宋体" w:hAnsi="宋体" w:eastAsia="宋体" w:cs="宋体"/>
          <w:b/>
          <w:kern w:val="0"/>
          <w:sz w:val="24"/>
          <w14:ligatures w14:val="standardContextual"/>
        </w:rPr>
      </w:pPr>
      <w:r>
        <w:rPr>
          <w:rFonts w:hint="eastAsia" w:ascii="宋体" w:hAnsi="宋体" w:eastAsia="宋体" w:cs="宋体"/>
          <w:b/>
          <w:kern w:val="0"/>
          <w:sz w:val="24"/>
          <w14:ligatures w14:val="standardContextual"/>
        </w:rPr>
        <w:t>线缆和模块（</w:t>
      </w:r>
      <w:r>
        <w:rPr>
          <w:rFonts w:ascii="宋体" w:hAnsi="宋体" w:eastAsia="宋体" w:cs="宋体"/>
          <w:b/>
          <w:kern w:val="0"/>
          <w:sz w:val="24"/>
          <w14:ligatures w14:val="standardContextual"/>
        </w:rPr>
        <w:t>1</w:t>
      </w:r>
      <w:r>
        <w:rPr>
          <w:rFonts w:hint="eastAsia" w:ascii="宋体" w:hAnsi="宋体" w:eastAsia="宋体" w:cs="宋体"/>
          <w:b/>
          <w:kern w:val="0"/>
          <w:sz w:val="24"/>
          <w14:ligatures w14:val="standardContextual"/>
        </w:rPr>
        <w:t>批）</w:t>
      </w:r>
    </w:p>
    <w:tbl>
      <w:tblPr>
        <w:tblStyle w:val="8"/>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6600"/>
      </w:tblGrid>
      <w:tr w14:paraId="5FA02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04DC6698">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功能项</w:t>
            </w:r>
          </w:p>
        </w:tc>
        <w:tc>
          <w:tcPr>
            <w:tcW w:w="6600" w:type="dxa"/>
            <w:shd w:val="clear" w:color="auto" w:fill="auto"/>
            <w:vAlign w:val="center"/>
          </w:tcPr>
          <w:p w14:paraId="165896DC">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技术指标</w:t>
            </w:r>
          </w:p>
        </w:tc>
      </w:tr>
      <w:tr w14:paraId="019A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1F0D77F8">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管理线缆</w:t>
            </w:r>
          </w:p>
        </w:tc>
        <w:tc>
          <w:tcPr>
            <w:tcW w:w="6600" w:type="dxa"/>
            <w:shd w:val="clear" w:color="auto" w:fill="auto"/>
            <w:vAlign w:val="center"/>
          </w:tcPr>
          <w:p w14:paraId="62C02D66">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2</w:t>
            </w:r>
            <w:r>
              <w:rPr>
                <w:rFonts w:ascii="宋体" w:hAnsi="宋体" w:eastAsia="宋体" w:cs="宋体"/>
                <w:color w:val="000000"/>
                <w:kern w:val="0"/>
                <w:sz w:val="22"/>
                <w:szCs w:val="22"/>
              </w:rPr>
              <w:t>0</w:t>
            </w:r>
            <w:r>
              <w:rPr>
                <w:rFonts w:hint="eastAsia" w:ascii="宋体" w:hAnsi="宋体" w:eastAsia="宋体" w:cs="宋体"/>
                <w:color w:val="000000"/>
                <w:kern w:val="0"/>
                <w:sz w:val="22"/>
                <w:szCs w:val="22"/>
              </w:rPr>
              <w:t>根1</w:t>
            </w:r>
            <w:r>
              <w:rPr>
                <w:rFonts w:ascii="宋体" w:hAnsi="宋体" w:eastAsia="宋体" w:cs="宋体"/>
                <w:color w:val="000000"/>
                <w:kern w:val="0"/>
                <w:sz w:val="22"/>
                <w:szCs w:val="22"/>
              </w:rPr>
              <w:t>5</w:t>
            </w:r>
            <w:r>
              <w:rPr>
                <w:rFonts w:hint="eastAsia" w:ascii="宋体" w:hAnsi="宋体" w:eastAsia="宋体" w:cs="宋体"/>
                <w:color w:val="000000"/>
                <w:kern w:val="0"/>
                <w:sz w:val="22"/>
                <w:szCs w:val="22"/>
              </w:rPr>
              <w:t>米超六类网线</w:t>
            </w:r>
          </w:p>
        </w:tc>
      </w:tr>
      <w:tr w14:paraId="7A536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vAlign w:val="center"/>
          </w:tcPr>
          <w:p w14:paraId="69874A34">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光纤线</w:t>
            </w:r>
          </w:p>
        </w:tc>
        <w:tc>
          <w:tcPr>
            <w:tcW w:w="6600" w:type="dxa"/>
            <w:shd w:val="clear" w:color="auto" w:fill="auto"/>
            <w:vAlign w:val="center"/>
          </w:tcPr>
          <w:p w14:paraId="0636AB39">
            <w:pPr>
              <w:widowControl/>
              <w:jc w:val="left"/>
              <w:rPr>
                <w:rFonts w:ascii="宋体" w:hAnsi="宋体" w:eastAsia="宋体" w:cs="宋体"/>
                <w:color w:val="000000"/>
                <w:kern w:val="0"/>
                <w:sz w:val="22"/>
                <w:szCs w:val="22"/>
              </w:rPr>
            </w:pPr>
            <w:r>
              <w:rPr>
                <w:rFonts w:ascii="宋体" w:hAnsi="宋体" w:eastAsia="宋体" w:cs="宋体"/>
                <w:color w:val="000000"/>
                <w:kern w:val="0"/>
                <w:sz w:val="22"/>
                <w:szCs w:val="22"/>
              </w:rPr>
              <w:t>24</w:t>
            </w:r>
            <w:r>
              <w:rPr>
                <w:rFonts w:hint="eastAsia" w:ascii="宋体" w:hAnsi="宋体" w:eastAsia="宋体" w:cs="宋体"/>
                <w:color w:val="000000"/>
                <w:kern w:val="0"/>
                <w:sz w:val="22"/>
                <w:szCs w:val="22"/>
              </w:rPr>
              <w:t>根5米光纤线，4根1</w:t>
            </w:r>
            <w:r>
              <w:rPr>
                <w:rFonts w:ascii="宋体" w:hAnsi="宋体" w:eastAsia="宋体" w:cs="宋体"/>
                <w:color w:val="000000"/>
                <w:kern w:val="0"/>
                <w:sz w:val="22"/>
                <w:szCs w:val="22"/>
              </w:rPr>
              <w:t>5</w:t>
            </w:r>
            <w:r>
              <w:rPr>
                <w:rFonts w:hint="eastAsia" w:ascii="宋体" w:hAnsi="宋体" w:eastAsia="宋体" w:cs="宋体"/>
                <w:color w:val="000000"/>
                <w:kern w:val="0"/>
                <w:sz w:val="22"/>
                <w:szCs w:val="22"/>
              </w:rPr>
              <w:t>米光纤线</w:t>
            </w:r>
          </w:p>
        </w:tc>
      </w:tr>
    </w:tbl>
    <w:p w14:paraId="490420E5">
      <w:pPr>
        <w:spacing w:line="360" w:lineRule="auto"/>
        <w:rPr>
          <w:rFonts w:ascii="宋体" w:hAnsi="宋体" w:eastAsia="宋体" w:cs="宋体"/>
          <w:kern w:val="0"/>
          <w:sz w:val="22"/>
          <w:szCs w:val="22"/>
          <w14:ligatures w14:val="standardContextual"/>
        </w:rPr>
      </w:pPr>
    </w:p>
    <w:p w14:paraId="5D64968E">
      <w:pPr>
        <w:keepNext/>
        <w:keepLines/>
        <w:numPr>
          <w:ilvl w:val="0"/>
          <w:numId w:val="1"/>
        </w:numPr>
        <w:adjustRightInd w:val="0"/>
        <w:snapToGrid w:val="0"/>
        <w:spacing w:before="312" w:beforeLines="100" w:after="312" w:afterLines="100" w:line="460" w:lineRule="exact"/>
        <w:ind w:firstLine="0"/>
        <w:jc w:val="left"/>
        <w:outlineLvl w:val="1"/>
        <w:rPr>
          <w:rFonts w:ascii="宋体" w:hAnsi="宋体" w:eastAsia="宋体" w:cs="宋体"/>
          <w:b/>
          <w:bCs/>
          <w:sz w:val="28"/>
          <w:szCs w:val="28"/>
        </w:rPr>
      </w:pPr>
      <w:r>
        <w:rPr>
          <w:rFonts w:hint="eastAsia" w:ascii="宋体" w:hAnsi="宋体" w:eastAsia="宋体" w:cs="宋体"/>
          <w:b/>
          <w:bCs/>
          <w:sz w:val="28"/>
          <w:szCs w:val="28"/>
        </w:rPr>
        <w:t>商务要求</w:t>
      </w:r>
    </w:p>
    <w:p w14:paraId="4C3D65ED">
      <w:pPr>
        <w:spacing w:line="360" w:lineRule="auto"/>
        <w:rPr>
          <w:rFonts w:ascii="宋体" w:hAnsi="宋体" w:cs="宋体"/>
          <w:sz w:val="24"/>
        </w:rPr>
      </w:pPr>
      <w:r>
        <w:rPr>
          <w:rFonts w:hint="eastAsia" w:ascii="宋体" w:hAnsi="宋体" w:cs="宋体"/>
          <w:sz w:val="24"/>
        </w:rPr>
        <w:t>1、提供不少于</w:t>
      </w:r>
      <w:r>
        <w:rPr>
          <w:rFonts w:ascii="宋体" w:hAnsi="宋体" w:cs="宋体"/>
          <w:sz w:val="24"/>
        </w:rPr>
        <w:t>3</w:t>
      </w:r>
      <w:r>
        <w:rPr>
          <w:rFonts w:hint="eastAsia" w:ascii="宋体" w:hAnsi="宋体" w:cs="宋体"/>
          <w:sz w:val="24"/>
        </w:rPr>
        <w:t xml:space="preserve">年的原厂质保服务，中标后三个工作日内须提供原厂商针对本项目的授权函; </w:t>
      </w:r>
    </w:p>
    <w:p w14:paraId="33955E87">
      <w:pPr>
        <w:spacing w:line="360" w:lineRule="auto"/>
        <w:rPr>
          <w:rFonts w:ascii="宋体" w:hAnsi="宋体" w:cs="宋体"/>
          <w:sz w:val="24"/>
        </w:rPr>
      </w:pPr>
      <w:r>
        <w:rPr>
          <w:rFonts w:hint="eastAsia" w:ascii="宋体" w:hAnsi="宋体" w:cs="宋体"/>
          <w:sz w:val="24"/>
        </w:rPr>
        <w:t>2．本项目报价包含项目所需一切费用，采购人不再为本项目追加任何投资。</w:t>
      </w:r>
    </w:p>
    <w:p w14:paraId="045838F0">
      <w:pPr>
        <w:spacing w:line="360" w:lineRule="auto"/>
        <w:rPr>
          <w:rFonts w:ascii="宋体" w:hAnsi="宋体" w:cs="宋体"/>
          <w:sz w:val="24"/>
        </w:rPr>
      </w:pPr>
      <w:r>
        <w:rPr>
          <w:rFonts w:ascii="宋体" w:hAnsi="宋体" w:cs="宋体"/>
          <w:sz w:val="24"/>
        </w:rPr>
        <w:t>3</w:t>
      </w:r>
      <w:r>
        <w:rPr>
          <w:rFonts w:hint="eastAsia" w:ascii="宋体" w:hAnsi="宋体" w:cs="宋体"/>
          <w:sz w:val="24"/>
        </w:rPr>
        <w:t>、投标人为医院</w:t>
      </w:r>
      <w:r>
        <w:rPr>
          <w:rFonts w:hint="eastAsia" w:ascii="宋体" w:hAnsi="宋体" w:cs="宋体"/>
          <w:sz w:val="24"/>
          <w:lang w:eastAsia="zh-Hans"/>
        </w:rPr>
        <w:t>提供原厂技术培训</w:t>
      </w:r>
      <w:r>
        <w:rPr>
          <w:rFonts w:hint="eastAsia" w:ascii="宋体" w:hAnsi="宋体" w:cs="宋体"/>
          <w:sz w:val="24"/>
        </w:rPr>
        <w:t>。</w:t>
      </w:r>
    </w:p>
    <w:p w14:paraId="478D0523">
      <w:pPr>
        <w:spacing w:line="360" w:lineRule="auto"/>
        <w:rPr>
          <w:rFonts w:ascii="宋体" w:hAnsi="宋体" w:cs="宋体"/>
          <w:sz w:val="24"/>
        </w:rPr>
      </w:pPr>
      <w:r>
        <w:rPr>
          <w:rFonts w:ascii="宋体" w:hAnsi="宋体" w:cs="宋体"/>
          <w:sz w:val="24"/>
        </w:rPr>
        <w:t>4</w:t>
      </w:r>
      <w:r>
        <w:rPr>
          <w:rFonts w:hint="eastAsia" w:ascii="宋体" w:hAnsi="宋体" w:cs="宋体"/>
          <w:sz w:val="24"/>
        </w:rPr>
        <w:t xml:space="preserve">、对于承诺符合要求的产品，采购人有权在签订采购合同前进行功能测试 (所发生的费用由中标人承担)，以确保产品实际质量及性能满足需求;如测试结果无法达到招标文件要求，采购人有权拒绝签订合同，并视中标人为虚假应标。 </w:t>
      </w:r>
    </w:p>
    <w:p w14:paraId="080AE12A">
      <w:pPr>
        <w:spacing w:line="360" w:lineRule="auto"/>
        <w:rPr>
          <w:rFonts w:ascii="宋体" w:hAnsi="宋体" w:cs="宋体"/>
          <w:sz w:val="24"/>
        </w:rPr>
      </w:pPr>
      <w:r>
        <w:rPr>
          <w:rFonts w:ascii="宋体" w:hAnsi="宋体" w:cs="宋体"/>
          <w:sz w:val="24"/>
        </w:rPr>
        <w:t>5</w:t>
      </w:r>
      <w:r>
        <w:rPr>
          <w:rFonts w:hint="eastAsia" w:ascii="宋体" w:hAnsi="宋体" w:cs="宋体"/>
          <w:sz w:val="24"/>
        </w:rPr>
        <w:t xml:space="preserve">、本项目用户方为浙江大学医学院附属儿童医院，可以通过该产品序列号在生产厂商官方网站或生产厂商 400/800 电话中进行验证，并可查询该产品维保期限。 </w:t>
      </w:r>
    </w:p>
    <w:p w14:paraId="246CCCBF">
      <w:pPr>
        <w:spacing w:line="360" w:lineRule="auto"/>
        <w:rPr>
          <w:rFonts w:ascii="宋体" w:hAnsi="宋体" w:cs="宋体"/>
          <w:sz w:val="24"/>
        </w:rPr>
      </w:pPr>
      <w:r>
        <w:rPr>
          <w:rFonts w:ascii="宋体" w:hAnsi="宋体" w:cs="宋体"/>
          <w:sz w:val="24"/>
        </w:rPr>
        <w:t>6</w:t>
      </w:r>
      <w:r>
        <w:rPr>
          <w:rFonts w:hint="eastAsia" w:ascii="宋体" w:hAnsi="宋体" w:cs="宋体"/>
          <w:sz w:val="24"/>
        </w:rPr>
        <w:t>、验收：中标人在合同签订后</w:t>
      </w:r>
      <w:r>
        <w:rPr>
          <w:rFonts w:ascii="宋体" w:hAnsi="宋体" w:cs="宋体"/>
          <w:sz w:val="24"/>
        </w:rPr>
        <w:t>60天</w:t>
      </w:r>
      <w:r>
        <w:rPr>
          <w:rFonts w:hint="eastAsia" w:ascii="宋体" w:hAnsi="宋体" w:cs="宋体"/>
          <w:sz w:val="24"/>
        </w:rPr>
        <w:t>内须完成设备到货</w:t>
      </w:r>
      <w:r>
        <w:rPr>
          <w:rFonts w:ascii="宋体" w:hAnsi="宋体" w:cs="宋体"/>
          <w:sz w:val="24"/>
        </w:rPr>
        <w:t>，</w:t>
      </w:r>
      <w:r>
        <w:rPr>
          <w:rFonts w:hint="eastAsia" w:ascii="宋体" w:hAnsi="宋体" w:cs="宋体"/>
          <w:sz w:val="24"/>
        </w:rPr>
        <w:t>调试和系统集成工作后</w:t>
      </w:r>
      <w:r>
        <w:rPr>
          <w:rFonts w:ascii="宋体" w:hAnsi="宋体" w:cs="宋体"/>
          <w:sz w:val="24"/>
        </w:rPr>
        <w:t>全部完成后</w:t>
      </w:r>
      <w:r>
        <w:rPr>
          <w:rFonts w:hint="eastAsia" w:ascii="宋体" w:hAnsi="宋体" w:cs="宋体"/>
          <w:sz w:val="24"/>
        </w:rPr>
        <w:t xml:space="preserve">，可申请初验，经采购人审核通过后出具初验报告;系统试运行 </w:t>
      </w:r>
      <w:r>
        <w:rPr>
          <w:rFonts w:ascii="宋体" w:hAnsi="宋体" w:cs="宋体"/>
          <w:sz w:val="24"/>
        </w:rPr>
        <w:t>3</w:t>
      </w:r>
      <w:r>
        <w:rPr>
          <w:rFonts w:hint="eastAsia" w:ascii="宋体" w:hAnsi="宋体" w:cs="宋体"/>
          <w:sz w:val="24"/>
        </w:rPr>
        <w:t xml:space="preserve"> 个月正常，向采购人提交全部报告材料，由采购人组织验收，经验收通过后出具终验报告。 </w:t>
      </w:r>
    </w:p>
    <w:p w14:paraId="2AE08FD0">
      <w:pPr>
        <w:spacing w:line="360" w:lineRule="auto"/>
        <w:rPr>
          <w:rFonts w:ascii="宋体" w:hAnsi="宋体" w:eastAsia="宋体" w:cs="宋体"/>
          <w:kern w:val="0"/>
          <w:sz w:val="22"/>
          <w:szCs w:val="22"/>
          <w14:ligatures w14:val="standardContextual"/>
        </w:rPr>
      </w:pPr>
      <w:r>
        <w:rPr>
          <w:rFonts w:hint="eastAsia" w:ascii="宋体" w:hAnsi="宋体" w:cs="宋体"/>
          <w:sz w:val="24"/>
        </w:rPr>
        <w:t>8、付款：合同签订并具备实施条件</w:t>
      </w:r>
      <w:r>
        <w:rPr>
          <w:rFonts w:hint="eastAsia" w:ascii="宋体" w:hAnsi="宋体" w:cs="Tahoma"/>
          <w:sz w:val="24"/>
        </w:rPr>
        <w:t>后</w:t>
      </w:r>
      <w:r>
        <w:rPr>
          <w:rFonts w:hint="eastAsia" w:ascii="宋体" w:hAnsi="宋体" w:cs="Tahoma"/>
          <w:sz w:val="24"/>
          <w:lang w:val="en-US" w:eastAsia="zh-CN"/>
        </w:rPr>
        <w:t>7</w:t>
      </w:r>
      <w:r>
        <w:rPr>
          <w:rFonts w:hint="eastAsia" w:ascii="宋体" w:hAnsi="宋体" w:cs="Tahoma"/>
          <w:sz w:val="24"/>
        </w:rPr>
        <w:t>个工作日内，招标方支付中标方合同金额的</w:t>
      </w:r>
      <w:r>
        <w:rPr>
          <w:rFonts w:ascii="宋体" w:hAnsi="宋体" w:cs="Tahoma"/>
          <w:sz w:val="24"/>
        </w:rPr>
        <w:t>3</w:t>
      </w:r>
      <w:r>
        <w:rPr>
          <w:rFonts w:hint="eastAsia" w:ascii="宋体" w:hAnsi="宋体" w:cs="Tahoma"/>
          <w:sz w:val="24"/>
        </w:rPr>
        <w:t>0%，验收合格</w:t>
      </w:r>
      <w:r>
        <w:rPr>
          <w:rFonts w:hint="eastAsia" w:ascii="宋体" w:hAnsi="宋体" w:cs="Tahoma"/>
          <w:sz w:val="24"/>
          <w:lang w:val="en-US" w:eastAsia="zh-CN"/>
        </w:rPr>
        <w:t>并具备付款条件</w:t>
      </w:r>
      <w:r>
        <w:rPr>
          <w:rFonts w:hint="eastAsia" w:ascii="宋体" w:hAnsi="宋体" w:cs="Tahoma"/>
          <w:sz w:val="24"/>
        </w:rPr>
        <w:t>后</w:t>
      </w:r>
      <w:r>
        <w:rPr>
          <w:rFonts w:hint="eastAsia" w:ascii="宋体" w:hAnsi="宋体" w:cs="Tahoma"/>
          <w:sz w:val="24"/>
          <w:lang w:val="en-US" w:eastAsia="zh-CN"/>
        </w:rPr>
        <w:t>7</w:t>
      </w:r>
      <w:r>
        <w:rPr>
          <w:rFonts w:hint="eastAsia" w:ascii="宋体" w:hAnsi="宋体" w:cs="Tahoma"/>
          <w:sz w:val="24"/>
        </w:rPr>
        <w:t>个工作日内，招标方支付中标方剩余合同金额。</w:t>
      </w:r>
    </w:p>
    <w:p w14:paraId="33B3191F">
      <w:pPr>
        <w:spacing w:line="360" w:lineRule="auto"/>
        <w:rPr>
          <w:rFonts w:ascii="宋体" w:hAnsi="宋体" w:eastAsia="宋体" w:cs="宋体"/>
          <w:kern w:val="0"/>
          <w:sz w:val="22"/>
          <w:szCs w:val="22"/>
          <w14:ligatures w14:val="standardContextua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MS Mincho">
    <w:panose1 w:val="02020609040205080304"/>
    <w:charset w:val="80"/>
    <w:family w:val="modern"/>
    <w:pitch w:val="default"/>
    <w:sig w:usb0="A00002BF" w:usb1="68C7FCFB" w:usb2="00000010" w:usb3="00000000" w:csb0="4002009F" w:csb1="DFD7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385C52"/>
    <w:multiLevelType w:val="multilevel"/>
    <w:tmpl w:val="44385C5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AE91FCD"/>
    <w:multiLevelType w:val="singleLevel"/>
    <w:tmpl w:val="6AE91FCD"/>
    <w:lvl w:ilvl="0" w:tentative="0">
      <w:start w:val="1"/>
      <w:numFmt w:val="chineseCounting"/>
      <w:suff w:val="nothing"/>
      <w:lvlText w:val="%1、"/>
      <w:lvlJc w:val="left"/>
      <w:pPr>
        <w:ind w:left="0" w:firstLine="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I1NGEyYWMxYzkzMzRjY2U2ODU1M2E5MTEwZDJiZjkifQ=="/>
  </w:docVars>
  <w:rsids>
    <w:rsidRoot w:val="001F2B77"/>
    <w:rsid w:val="0002448F"/>
    <w:rsid w:val="00034E04"/>
    <w:rsid w:val="00035F9E"/>
    <w:rsid w:val="000521A1"/>
    <w:rsid w:val="00062F78"/>
    <w:rsid w:val="00066FF5"/>
    <w:rsid w:val="00084E36"/>
    <w:rsid w:val="00097334"/>
    <w:rsid w:val="000A75BB"/>
    <w:rsid w:val="000B723C"/>
    <w:rsid w:val="000C20D9"/>
    <w:rsid w:val="000C497B"/>
    <w:rsid w:val="00100721"/>
    <w:rsid w:val="001111F1"/>
    <w:rsid w:val="00124E51"/>
    <w:rsid w:val="00171E35"/>
    <w:rsid w:val="001808F0"/>
    <w:rsid w:val="00187A98"/>
    <w:rsid w:val="001D718A"/>
    <w:rsid w:val="001E3DA8"/>
    <w:rsid w:val="001F2B77"/>
    <w:rsid w:val="001F66A6"/>
    <w:rsid w:val="00202E24"/>
    <w:rsid w:val="0020406E"/>
    <w:rsid w:val="002259BD"/>
    <w:rsid w:val="00236AFE"/>
    <w:rsid w:val="002401AA"/>
    <w:rsid w:val="00255111"/>
    <w:rsid w:val="002D786F"/>
    <w:rsid w:val="002F219E"/>
    <w:rsid w:val="003956E6"/>
    <w:rsid w:val="00395CF0"/>
    <w:rsid w:val="003A14CB"/>
    <w:rsid w:val="003F2BBA"/>
    <w:rsid w:val="004751DC"/>
    <w:rsid w:val="004A310F"/>
    <w:rsid w:val="004C5A84"/>
    <w:rsid w:val="004D4335"/>
    <w:rsid w:val="004F5135"/>
    <w:rsid w:val="00503464"/>
    <w:rsid w:val="00512472"/>
    <w:rsid w:val="00535209"/>
    <w:rsid w:val="005625D3"/>
    <w:rsid w:val="005713F8"/>
    <w:rsid w:val="005A2B30"/>
    <w:rsid w:val="005D0A1B"/>
    <w:rsid w:val="00634F89"/>
    <w:rsid w:val="006444E7"/>
    <w:rsid w:val="006C680F"/>
    <w:rsid w:val="00734517"/>
    <w:rsid w:val="007A3E81"/>
    <w:rsid w:val="007C3C28"/>
    <w:rsid w:val="007D7897"/>
    <w:rsid w:val="008040BD"/>
    <w:rsid w:val="008419AD"/>
    <w:rsid w:val="0084711E"/>
    <w:rsid w:val="008A5927"/>
    <w:rsid w:val="008B0B00"/>
    <w:rsid w:val="008D42AF"/>
    <w:rsid w:val="008E3795"/>
    <w:rsid w:val="008F1266"/>
    <w:rsid w:val="00921BFC"/>
    <w:rsid w:val="00933E2F"/>
    <w:rsid w:val="00972BF0"/>
    <w:rsid w:val="00983860"/>
    <w:rsid w:val="009E7F1D"/>
    <w:rsid w:val="009F2468"/>
    <w:rsid w:val="00A75BA4"/>
    <w:rsid w:val="00A8034E"/>
    <w:rsid w:val="00A85248"/>
    <w:rsid w:val="00A86728"/>
    <w:rsid w:val="00A87F2C"/>
    <w:rsid w:val="00AD77C4"/>
    <w:rsid w:val="00AE6C97"/>
    <w:rsid w:val="00B5066F"/>
    <w:rsid w:val="00B71AEA"/>
    <w:rsid w:val="00BA62D3"/>
    <w:rsid w:val="00BD4851"/>
    <w:rsid w:val="00BE7457"/>
    <w:rsid w:val="00C14AAF"/>
    <w:rsid w:val="00C14D47"/>
    <w:rsid w:val="00C253A5"/>
    <w:rsid w:val="00C649F7"/>
    <w:rsid w:val="00C70331"/>
    <w:rsid w:val="00CD0721"/>
    <w:rsid w:val="00CE7E9F"/>
    <w:rsid w:val="00CF6B1A"/>
    <w:rsid w:val="00D0176C"/>
    <w:rsid w:val="00D232F4"/>
    <w:rsid w:val="00D304A1"/>
    <w:rsid w:val="00D4379B"/>
    <w:rsid w:val="00D47D42"/>
    <w:rsid w:val="00D6133A"/>
    <w:rsid w:val="00DA5F56"/>
    <w:rsid w:val="00DB5C5F"/>
    <w:rsid w:val="00DC5BE8"/>
    <w:rsid w:val="00E17E06"/>
    <w:rsid w:val="00E2007A"/>
    <w:rsid w:val="00E404A0"/>
    <w:rsid w:val="00EB67F9"/>
    <w:rsid w:val="00ED7437"/>
    <w:rsid w:val="00F410DC"/>
    <w:rsid w:val="00F44850"/>
    <w:rsid w:val="00F47DDB"/>
    <w:rsid w:val="00F81B8F"/>
    <w:rsid w:val="00F941FA"/>
    <w:rsid w:val="00FA19E4"/>
    <w:rsid w:val="00FD1730"/>
    <w:rsid w:val="00FD1D4A"/>
    <w:rsid w:val="00FF05B9"/>
    <w:rsid w:val="02D432A2"/>
    <w:rsid w:val="116322B5"/>
    <w:rsid w:val="162B0C5C"/>
    <w:rsid w:val="20C47214"/>
    <w:rsid w:val="42BA59D9"/>
    <w:rsid w:val="48AD1F11"/>
    <w:rsid w:val="51E122CD"/>
    <w:rsid w:val="609A4358"/>
    <w:rsid w:val="6FCA48E9"/>
    <w:rsid w:val="7C2056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tabs>
        <w:tab w:val="left" w:pos="706"/>
        <w:tab w:val="left" w:pos="1110"/>
      </w:tabs>
      <w:spacing w:line="360" w:lineRule="auto"/>
      <w:ind w:left="106" w:firstLine="454"/>
      <w:outlineLvl w:val="1"/>
    </w:pPr>
    <w:rPr>
      <w:rFonts w:ascii="Arial" w:hAnsi="Arial" w:eastAsia="黑体"/>
      <w:b/>
      <w:bCs/>
      <w:szCs w:val="32"/>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8"/>
    <w:qFormat/>
    <w:uiPriority w:val="0"/>
    <w:pPr>
      <w:jc w:val="left"/>
    </w:pPr>
  </w:style>
  <w:style w:type="paragraph" w:styleId="4">
    <w:name w:val="Balloon Text"/>
    <w:basedOn w:val="1"/>
    <w:link w:val="20"/>
    <w:qFormat/>
    <w:uiPriority w:val="0"/>
    <w:rPr>
      <w:sz w:val="18"/>
      <w:szCs w:val="18"/>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uiPriority w:val="0"/>
    <w:pPr>
      <w:tabs>
        <w:tab w:val="center" w:pos="4153"/>
        <w:tab w:val="right" w:pos="8306"/>
      </w:tabs>
      <w:snapToGrid w:val="0"/>
      <w:jc w:val="center"/>
    </w:pPr>
    <w:rPr>
      <w:sz w:val="18"/>
      <w:szCs w:val="18"/>
    </w:rPr>
  </w:style>
  <w:style w:type="paragraph" w:styleId="7">
    <w:name w:val="annotation subject"/>
    <w:basedOn w:val="3"/>
    <w:next w:val="3"/>
    <w:link w:val="19"/>
    <w:qFormat/>
    <w:uiPriority w:val="0"/>
    <w:rPr>
      <w:b/>
      <w:bCs/>
    </w:rPr>
  </w:style>
  <w:style w:type="character" w:styleId="10">
    <w:name w:val="annotation reference"/>
    <w:basedOn w:val="9"/>
    <w:qFormat/>
    <w:uiPriority w:val="0"/>
    <w:rPr>
      <w:sz w:val="21"/>
      <w:szCs w:val="21"/>
    </w:rPr>
  </w:style>
  <w:style w:type="paragraph" w:customStyle="1" w:styleId="11">
    <w:name w:val="_Style 1"/>
    <w:autoRedefine/>
    <w:qFormat/>
    <w:uiPriority w:val="0"/>
    <w:rPr>
      <w:rFonts w:ascii="Calibri" w:hAnsi="Calibri" w:eastAsia="宋体" w:cs="Times New Roman"/>
      <w:kern w:val="2"/>
      <w:sz w:val="28"/>
      <w:szCs w:val="22"/>
      <w:lang w:val="en-US" w:eastAsia="zh-CN" w:bidi="ar-SA"/>
    </w:rPr>
  </w:style>
  <w:style w:type="character" w:customStyle="1" w:styleId="12">
    <w:name w:val="页眉 字符"/>
    <w:basedOn w:val="9"/>
    <w:link w:val="6"/>
    <w:qFormat/>
    <w:uiPriority w:val="0"/>
    <w:rPr>
      <w:kern w:val="2"/>
      <w:sz w:val="18"/>
      <w:szCs w:val="18"/>
    </w:rPr>
  </w:style>
  <w:style w:type="character" w:customStyle="1" w:styleId="13">
    <w:name w:val="页脚 字符"/>
    <w:basedOn w:val="9"/>
    <w:link w:val="5"/>
    <w:qFormat/>
    <w:uiPriority w:val="0"/>
    <w:rPr>
      <w:kern w:val="2"/>
      <w:sz w:val="18"/>
      <w:szCs w:val="18"/>
    </w:rPr>
  </w:style>
  <w:style w:type="character" w:customStyle="1" w:styleId="14">
    <w:name w:val="font21"/>
    <w:basedOn w:val="9"/>
    <w:qFormat/>
    <w:uiPriority w:val="0"/>
    <w:rPr>
      <w:rFonts w:hint="eastAsia" w:ascii="宋体" w:hAnsi="宋体" w:eastAsia="宋体"/>
      <w:color w:val="000000"/>
      <w:sz w:val="22"/>
      <w:szCs w:val="22"/>
      <w:u w:val="none"/>
    </w:rPr>
  </w:style>
  <w:style w:type="character" w:customStyle="1" w:styleId="15">
    <w:name w:val="font11"/>
    <w:basedOn w:val="9"/>
    <w:qFormat/>
    <w:uiPriority w:val="0"/>
    <w:rPr>
      <w:rFonts w:hint="default" w:ascii="Times New Roman" w:hAnsi="Times New Roman" w:cs="Times New Roman"/>
      <w:color w:val="000000"/>
      <w:sz w:val="22"/>
      <w:szCs w:val="22"/>
      <w:u w:val="none"/>
    </w:rPr>
  </w:style>
  <w:style w:type="character" w:customStyle="1" w:styleId="16">
    <w:name w:val="font31"/>
    <w:basedOn w:val="9"/>
    <w:qFormat/>
    <w:uiPriority w:val="0"/>
    <w:rPr>
      <w:rFonts w:hint="eastAsia" w:ascii="宋体" w:hAnsi="宋体" w:eastAsia="宋体"/>
      <w:color w:val="000000"/>
      <w:sz w:val="22"/>
      <w:szCs w:val="22"/>
      <w:u w:val="none"/>
    </w:rPr>
  </w:style>
  <w:style w:type="character" w:customStyle="1" w:styleId="17">
    <w:name w:val="font01"/>
    <w:basedOn w:val="9"/>
    <w:qFormat/>
    <w:uiPriority w:val="0"/>
    <w:rPr>
      <w:rFonts w:hint="default" w:ascii="Times New Roman" w:hAnsi="Times New Roman" w:cs="Times New Roman"/>
      <w:color w:val="000000"/>
      <w:sz w:val="22"/>
      <w:szCs w:val="22"/>
      <w:u w:val="none"/>
    </w:rPr>
  </w:style>
  <w:style w:type="character" w:customStyle="1" w:styleId="18">
    <w:name w:val="批注文字 字符"/>
    <w:basedOn w:val="9"/>
    <w:link w:val="3"/>
    <w:qFormat/>
    <w:uiPriority w:val="0"/>
    <w:rPr>
      <w:kern w:val="2"/>
      <w:sz w:val="21"/>
      <w:szCs w:val="24"/>
    </w:rPr>
  </w:style>
  <w:style w:type="character" w:customStyle="1" w:styleId="19">
    <w:name w:val="批注主题 字符"/>
    <w:basedOn w:val="18"/>
    <w:link w:val="7"/>
    <w:qFormat/>
    <w:uiPriority w:val="0"/>
    <w:rPr>
      <w:b/>
      <w:bCs/>
      <w:kern w:val="2"/>
      <w:sz w:val="21"/>
      <w:szCs w:val="24"/>
    </w:rPr>
  </w:style>
  <w:style w:type="character" w:customStyle="1" w:styleId="20">
    <w:name w:val="批注框文本 字符"/>
    <w:basedOn w:val="9"/>
    <w:link w:val="4"/>
    <w:qFormat/>
    <w:uiPriority w:val="0"/>
    <w:rPr>
      <w:kern w:val="2"/>
      <w:sz w:val="18"/>
      <w:szCs w:val="18"/>
    </w:rPr>
  </w:style>
  <w:style w:type="paragraph" w:styleId="2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4854</Words>
  <Characters>5627</Characters>
  <Lines>42</Lines>
  <Paragraphs>12</Paragraphs>
  <TotalTime>146</TotalTime>
  <ScaleCrop>false</ScaleCrop>
  <LinksUpToDate>false</LinksUpToDate>
  <CharactersWithSpaces>5692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2026-05-07T08:27:00Z</dcterms:created>
  <dc:creator>沙俊松</dc:creator>
  <cp:lastModifiedBy>hp</cp:lastModifiedBy>
  <dcterms:modified xsi:type="dcterms:W3CDTF">2026-05-22T07:00:24Z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82C95AA9C9DD4064B295E947E70AC002_12</vt:lpwstr>
  </property>
  <property fmtid="{D5CDD505-2E9C-101B-9397-08002B2CF9AE}" pid="4" name="_2015_ms_pID_725343">
    <vt:lpwstr>(2)7/FzJppq7BaT826C74Mud42WO4gbpC6kmPxGFzD5d2SJsHGHcjwRQiVo3lc3zaHWlN4laqPB
EPYjXy5b5RcQlcHcBLoC+mCdAs6HB9U4HiXHF6SBDCqmce5zuGLKl1/ThomuLdxwKx2R2e9q
/5T7lFp6gwCVW1/FP0z3jVT9nHE2gd4okJWCiLWupEG8OB1R6NPnX+EUjqfp1FIs2hPNOH9p
MJFk+mrSbRIVHRVBQm</vt:lpwstr>
  </property>
  <property fmtid="{D5CDD505-2E9C-101B-9397-08002B2CF9AE}" pid="5" name="_2015_ms_pID_7253431">
    <vt:lpwstr>/jBzmYNXNfvKLQKANUUHA0yF/SFRZXP0SWyBHgkw8KXRHKsQWvD3WI
npPrJFm37S8sBSrxkg3Xj4qyEmnAWjwZ62lihL/s/CamhAjOkZ4GgSCs8UPxuyGd83CaOulK
rGeOcJfvBvode82IKlyqjlyZ6gtUXCOuz08v0Tpxn6CtPJVkkdJbRUAh49mcVYiylh4=</vt:lpwstr>
  </property>
  <property fmtid="{D5CDD505-2E9C-101B-9397-08002B2CF9AE}" pid="6" name="_readonly">
    <vt:lpwstr/>
  </property>
  <property fmtid="{D5CDD505-2E9C-101B-9397-08002B2CF9AE}" pid="7" name="_change">
    <vt:lpwstr/>
  </property>
  <property fmtid="{D5CDD505-2E9C-101B-9397-08002B2CF9AE}" pid="8" name="_full-control">
    <vt:lpwstr/>
  </property>
  <property fmtid="{D5CDD505-2E9C-101B-9397-08002B2CF9AE}" pid="9" name="sflag">
    <vt:lpwstr>1778143675</vt:lpwstr>
  </property>
</Properties>
</file>