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tblpY="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4"/>
        <w:gridCol w:w="2308"/>
        <w:gridCol w:w="1416"/>
        <w:gridCol w:w="4304"/>
      </w:tblGrid>
      <w:tr w14:paraId="4FBDE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290" w:type="pct"/>
            <w:vAlign w:val="center"/>
          </w:tcPr>
          <w:p w14:paraId="63992D71">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序号</w:t>
            </w:r>
          </w:p>
        </w:tc>
        <w:tc>
          <w:tcPr>
            <w:tcW w:w="1354" w:type="pct"/>
            <w:shd w:val="clear" w:color="auto" w:fill="auto"/>
            <w:vAlign w:val="center"/>
          </w:tcPr>
          <w:p w14:paraId="407DEE2D">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物资名称</w:t>
            </w:r>
          </w:p>
        </w:tc>
        <w:tc>
          <w:tcPr>
            <w:tcW w:w="831" w:type="pct"/>
            <w:shd w:val="clear" w:color="auto" w:fill="auto"/>
            <w:vAlign w:val="center"/>
          </w:tcPr>
          <w:p w14:paraId="58046BD0">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规格</w:t>
            </w:r>
          </w:p>
        </w:tc>
        <w:tc>
          <w:tcPr>
            <w:tcW w:w="2525" w:type="pct"/>
            <w:shd w:val="clear" w:color="auto" w:fill="auto"/>
            <w:vAlign w:val="center"/>
          </w:tcPr>
          <w:p w14:paraId="13314E5E">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采购需求</w:t>
            </w:r>
          </w:p>
        </w:tc>
      </w:tr>
      <w:tr w14:paraId="574EB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290" w:type="pct"/>
            <w:vMerge w:val="restart"/>
            <w:vAlign w:val="center"/>
          </w:tcPr>
          <w:p w14:paraId="357F0502">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1354" w:type="pct"/>
            <w:vMerge w:val="restart"/>
            <w:shd w:val="clear" w:color="auto" w:fill="auto"/>
            <w:vAlign w:val="center"/>
          </w:tcPr>
          <w:p w14:paraId="58903E40">
            <w:pPr>
              <w:jc w:val="center"/>
              <w:rPr>
                <w:rFonts w:ascii="宋体" w:hAnsi="宋体" w:eastAsia="宋体" w:cs="宋体"/>
                <w:color w:val="000000"/>
                <w:szCs w:val="18"/>
              </w:rPr>
            </w:pPr>
            <w:r>
              <w:rPr>
                <w:rFonts w:hint="eastAsia" w:ascii="宋体" w:hAnsi="宋体" w:eastAsia="宋体" w:cs="宋体"/>
                <w:color w:val="000000"/>
                <w:szCs w:val="18"/>
              </w:rPr>
              <w:t>一次性体外循环管道包</w:t>
            </w:r>
          </w:p>
        </w:tc>
        <w:tc>
          <w:tcPr>
            <w:tcW w:w="831" w:type="pct"/>
            <w:shd w:val="clear" w:color="auto" w:fill="auto"/>
            <w:vAlign w:val="center"/>
          </w:tcPr>
          <w:p w14:paraId="523EA289">
            <w:pPr>
              <w:jc w:val="center"/>
              <w:rPr>
                <w:rFonts w:ascii="宋体" w:hAnsi="宋体" w:eastAsia="宋体" w:cs="宋体"/>
                <w:color w:val="000000"/>
                <w:szCs w:val="18"/>
              </w:rPr>
            </w:pPr>
            <w:r>
              <w:rPr>
                <w:rFonts w:hint="eastAsia" w:ascii="宋体" w:hAnsi="宋体" w:eastAsia="宋体" w:cs="宋体"/>
                <w:color w:val="000000"/>
                <w:szCs w:val="18"/>
              </w:rPr>
              <w:t>新生儿型</w:t>
            </w:r>
          </w:p>
        </w:tc>
        <w:tc>
          <w:tcPr>
            <w:tcW w:w="2525" w:type="pct"/>
            <w:vMerge w:val="restart"/>
            <w:shd w:val="clear" w:color="auto" w:fill="auto"/>
            <w:vAlign w:val="center"/>
          </w:tcPr>
          <w:p w14:paraId="6B46C86F">
            <w:pPr>
              <w:pStyle w:val="8"/>
              <w:numPr>
                <w:ilvl w:val="0"/>
                <w:numId w:val="1"/>
              </w:numPr>
              <w:ind w:firstLineChars="0"/>
              <w:jc w:val="left"/>
              <w:rPr>
                <w:rFonts w:ascii="宋体" w:hAnsi="宋体" w:eastAsia="宋体" w:cs="宋体"/>
                <w:color w:val="000000"/>
                <w:szCs w:val="18"/>
              </w:rPr>
            </w:pPr>
            <w:r>
              <w:rPr>
                <w:rFonts w:hint="eastAsia" w:ascii="宋体" w:hAnsi="宋体" w:eastAsia="宋体" w:cs="宋体"/>
                <w:color w:val="000000"/>
                <w:szCs w:val="18"/>
              </w:rPr>
              <w:t>用于体外循环手术与动静脉插管的连接及与体外循环机器搭配形成完整的体外循环。</w:t>
            </w:r>
          </w:p>
          <w:p w14:paraId="19FCFDE7">
            <w:pPr>
              <w:pStyle w:val="8"/>
              <w:numPr>
                <w:ilvl w:val="0"/>
                <w:numId w:val="1"/>
              </w:numPr>
              <w:ind w:firstLineChars="0"/>
              <w:jc w:val="left"/>
              <w:rPr>
                <w:rFonts w:ascii="宋体" w:hAnsi="宋体" w:eastAsia="宋体" w:cs="宋体"/>
                <w:color w:val="000000"/>
                <w:szCs w:val="18"/>
              </w:rPr>
            </w:pPr>
            <w:r>
              <w:rPr>
                <w:rFonts w:hint="eastAsia" w:ascii="宋体" w:hAnsi="宋体" w:eastAsia="宋体" w:cs="宋体"/>
                <w:color w:val="000000"/>
                <w:szCs w:val="18"/>
              </w:rPr>
              <w:t>由泵管、主动脉供血管、腔静脉回流管、左心吸引管、右心吸引管、回流管、备用管和直通接头、三通接头组成。</w:t>
            </w:r>
          </w:p>
          <w:p w14:paraId="1DC2F44B">
            <w:pPr>
              <w:pStyle w:val="8"/>
              <w:numPr>
                <w:ilvl w:val="0"/>
                <w:numId w:val="1"/>
              </w:numPr>
              <w:ind w:firstLineChars="0"/>
              <w:jc w:val="left"/>
              <w:rPr>
                <w:rFonts w:ascii="宋体" w:hAnsi="宋体" w:eastAsia="宋体" w:cs="宋体"/>
                <w:color w:val="000000"/>
                <w:szCs w:val="18"/>
              </w:rPr>
            </w:pPr>
            <w:r>
              <w:rPr>
                <w:rFonts w:hint="eastAsia" w:ascii="宋体" w:hAnsi="宋体" w:eastAsia="宋体" w:cs="宋体"/>
                <w:color w:val="000000"/>
                <w:szCs w:val="18"/>
              </w:rPr>
              <w:t>可按照医院具体需求定制。</w:t>
            </w:r>
          </w:p>
        </w:tc>
      </w:tr>
      <w:tr w14:paraId="0070B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290" w:type="pct"/>
            <w:vMerge w:val="continue"/>
            <w:vAlign w:val="center"/>
          </w:tcPr>
          <w:p w14:paraId="15FA0363">
            <w:pPr>
              <w:widowControl/>
              <w:jc w:val="center"/>
              <w:rPr>
                <w:rFonts w:hint="eastAsia" w:ascii="宋体" w:hAnsi="宋体" w:eastAsia="宋体" w:cs="宋体"/>
                <w:color w:val="000000"/>
                <w:kern w:val="0"/>
                <w:szCs w:val="21"/>
              </w:rPr>
            </w:pPr>
          </w:p>
        </w:tc>
        <w:tc>
          <w:tcPr>
            <w:tcW w:w="1354" w:type="pct"/>
            <w:vMerge w:val="continue"/>
            <w:shd w:val="clear" w:color="auto" w:fill="auto"/>
            <w:vAlign w:val="center"/>
          </w:tcPr>
          <w:p w14:paraId="7A5C4C03">
            <w:pPr>
              <w:rPr>
                <w:rFonts w:hint="eastAsia" w:ascii="宋体" w:hAnsi="宋体" w:eastAsia="宋体" w:cs="宋体"/>
                <w:color w:val="000000"/>
                <w:szCs w:val="18"/>
              </w:rPr>
            </w:pPr>
          </w:p>
        </w:tc>
        <w:tc>
          <w:tcPr>
            <w:tcW w:w="831" w:type="pct"/>
            <w:shd w:val="clear" w:color="auto" w:fill="auto"/>
            <w:vAlign w:val="center"/>
          </w:tcPr>
          <w:p w14:paraId="33D39AF1">
            <w:pPr>
              <w:jc w:val="center"/>
              <w:rPr>
                <w:rFonts w:hint="eastAsia" w:ascii="宋体" w:hAnsi="宋体" w:eastAsia="宋体" w:cs="宋体"/>
                <w:color w:val="000000"/>
                <w:szCs w:val="18"/>
              </w:rPr>
            </w:pPr>
            <w:r>
              <w:rPr>
                <w:rFonts w:hint="eastAsia" w:ascii="宋体" w:hAnsi="宋体" w:eastAsia="宋体" w:cs="宋体"/>
                <w:color w:val="000000"/>
                <w:szCs w:val="18"/>
              </w:rPr>
              <w:t>婴儿型</w:t>
            </w:r>
          </w:p>
        </w:tc>
        <w:tc>
          <w:tcPr>
            <w:tcW w:w="2525" w:type="pct"/>
            <w:vMerge w:val="continue"/>
            <w:shd w:val="clear" w:color="auto" w:fill="auto"/>
            <w:vAlign w:val="center"/>
          </w:tcPr>
          <w:p w14:paraId="10819F38">
            <w:pPr>
              <w:pStyle w:val="8"/>
              <w:numPr>
                <w:ilvl w:val="0"/>
                <w:numId w:val="1"/>
              </w:numPr>
              <w:ind w:firstLineChars="0"/>
              <w:jc w:val="left"/>
              <w:rPr>
                <w:rFonts w:hint="eastAsia" w:ascii="宋体" w:hAnsi="宋体" w:eastAsia="宋体" w:cs="宋体"/>
                <w:color w:val="000000"/>
                <w:szCs w:val="18"/>
              </w:rPr>
            </w:pPr>
          </w:p>
        </w:tc>
      </w:tr>
      <w:tr w14:paraId="3BA2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290" w:type="pct"/>
            <w:vMerge w:val="continue"/>
            <w:vAlign w:val="center"/>
          </w:tcPr>
          <w:p w14:paraId="4AF514A0">
            <w:pPr>
              <w:widowControl/>
              <w:jc w:val="center"/>
              <w:rPr>
                <w:rFonts w:hint="eastAsia" w:ascii="宋体" w:hAnsi="宋体" w:eastAsia="宋体" w:cs="宋体"/>
                <w:color w:val="000000"/>
                <w:kern w:val="0"/>
                <w:szCs w:val="21"/>
              </w:rPr>
            </w:pPr>
          </w:p>
        </w:tc>
        <w:tc>
          <w:tcPr>
            <w:tcW w:w="1354" w:type="pct"/>
            <w:vMerge w:val="continue"/>
            <w:shd w:val="clear" w:color="auto" w:fill="auto"/>
            <w:vAlign w:val="center"/>
          </w:tcPr>
          <w:p w14:paraId="0DFAD50C">
            <w:pPr>
              <w:rPr>
                <w:rFonts w:hint="eastAsia" w:ascii="宋体" w:hAnsi="宋体" w:eastAsia="宋体" w:cs="宋体"/>
                <w:color w:val="000000"/>
                <w:szCs w:val="18"/>
              </w:rPr>
            </w:pPr>
          </w:p>
        </w:tc>
        <w:tc>
          <w:tcPr>
            <w:tcW w:w="831" w:type="pct"/>
            <w:shd w:val="clear" w:color="auto" w:fill="auto"/>
            <w:vAlign w:val="center"/>
          </w:tcPr>
          <w:p w14:paraId="76D9C037">
            <w:pPr>
              <w:jc w:val="center"/>
              <w:rPr>
                <w:rFonts w:hint="eastAsia" w:ascii="宋体" w:hAnsi="宋体" w:eastAsia="宋体" w:cs="宋体"/>
                <w:color w:val="000000"/>
                <w:szCs w:val="18"/>
              </w:rPr>
            </w:pPr>
            <w:r>
              <w:rPr>
                <w:rFonts w:hint="eastAsia" w:ascii="宋体" w:hAnsi="宋体" w:eastAsia="宋体" w:cs="宋体"/>
                <w:color w:val="000000"/>
                <w:szCs w:val="18"/>
              </w:rPr>
              <w:t>儿童型</w:t>
            </w:r>
          </w:p>
        </w:tc>
        <w:tc>
          <w:tcPr>
            <w:tcW w:w="2525" w:type="pct"/>
            <w:vMerge w:val="continue"/>
            <w:shd w:val="clear" w:color="auto" w:fill="auto"/>
            <w:vAlign w:val="center"/>
          </w:tcPr>
          <w:p w14:paraId="130F90F8">
            <w:pPr>
              <w:pStyle w:val="8"/>
              <w:numPr>
                <w:ilvl w:val="0"/>
                <w:numId w:val="1"/>
              </w:numPr>
              <w:ind w:firstLineChars="0"/>
              <w:jc w:val="left"/>
              <w:rPr>
                <w:rFonts w:hint="eastAsia" w:ascii="宋体" w:hAnsi="宋体" w:eastAsia="宋体" w:cs="宋体"/>
                <w:color w:val="000000"/>
                <w:szCs w:val="18"/>
              </w:rPr>
            </w:pPr>
          </w:p>
        </w:tc>
      </w:tr>
      <w:tr w14:paraId="5F0C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90" w:type="pct"/>
            <w:vMerge w:val="continue"/>
            <w:vAlign w:val="center"/>
          </w:tcPr>
          <w:p w14:paraId="05B17F96">
            <w:pPr>
              <w:widowControl/>
              <w:jc w:val="center"/>
              <w:rPr>
                <w:rFonts w:hint="eastAsia" w:ascii="宋体" w:hAnsi="宋体" w:eastAsia="宋体" w:cs="宋体"/>
                <w:color w:val="000000"/>
                <w:kern w:val="0"/>
                <w:szCs w:val="21"/>
              </w:rPr>
            </w:pPr>
          </w:p>
        </w:tc>
        <w:tc>
          <w:tcPr>
            <w:tcW w:w="1354" w:type="pct"/>
            <w:vMerge w:val="continue"/>
            <w:shd w:val="clear" w:color="auto" w:fill="auto"/>
            <w:vAlign w:val="center"/>
          </w:tcPr>
          <w:p w14:paraId="08633772">
            <w:pPr>
              <w:rPr>
                <w:rFonts w:hint="eastAsia" w:ascii="宋体" w:hAnsi="宋体" w:eastAsia="宋体" w:cs="宋体"/>
                <w:color w:val="000000"/>
                <w:szCs w:val="18"/>
              </w:rPr>
            </w:pPr>
          </w:p>
        </w:tc>
        <w:tc>
          <w:tcPr>
            <w:tcW w:w="831" w:type="pct"/>
            <w:shd w:val="clear" w:color="auto" w:fill="auto"/>
            <w:vAlign w:val="center"/>
          </w:tcPr>
          <w:p w14:paraId="0364C685">
            <w:pPr>
              <w:jc w:val="center"/>
              <w:rPr>
                <w:rFonts w:hint="eastAsia" w:ascii="宋体" w:hAnsi="宋体" w:eastAsia="宋体" w:cs="宋体"/>
                <w:color w:val="000000"/>
                <w:szCs w:val="18"/>
              </w:rPr>
            </w:pPr>
            <w:r>
              <w:rPr>
                <w:rFonts w:hint="eastAsia" w:ascii="宋体" w:hAnsi="宋体" w:eastAsia="宋体" w:cs="宋体"/>
                <w:color w:val="000000"/>
                <w:szCs w:val="18"/>
              </w:rPr>
              <w:t>成人型</w:t>
            </w:r>
          </w:p>
        </w:tc>
        <w:tc>
          <w:tcPr>
            <w:tcW w:w="2525" w:type="pct"/>
            <w:vMerge w:val="continue"/>
            <w:shd w:val="clear" w:color="auto" w:fill="auto"/>
            <w:vAlign w:val="center"/>
          </w:tcPr>
          <w:p w14:paraId="3FE31580">
            <w:pPr>
              <w:pStyle w:val="8"/>
              <w:numPr>
                <w:ilvl w:val="0"/>
                <w:numId w:val="1"/>
              </w:numPr>
              <w:ind w:firstLineChars="0"/>
              <w:jc w:val="left"/>
              <w:rPr>
                <w:rFonts w:hint="eastAsia" w:ascii="宋体" w:hAnsi="宋体" w:eastAsia="宋体" w:cs="宋体"/>
                <w:color w:val="000000"/>
                <w:szCs w:val="18"/>
              </w:rPr>
            </w:pPr>
          </w:p>
        </w:tc>
      </w:tr>
    </w:tbl>
    <w:p w14:paraId="76CB147D">
      <w:pPr>
        <w:jc w:val="center"/>
        <w:rPr>
          <w:b/>
          <w:sz w:val="28"/>
        </w:rPr>
      </w:pPr>
      <w:r>
        <w:rPr>
          <w:rFonts w:hint="eastAsia"/>
          <w:b/>
          <w:sz w:val="28"/>
        </w:rPr>
        <w:t>一次性体外循环管道包</w:t>
      </w:r>
      <w:r>
        <w:rPr>
          <w:b/>
          <w:sz w:val="28"/>
        </w:rPr>
        <w:t>采购需求</w:t>
      </w:r>
      <w:bookmarkStart w:id="1" w:name="_GoBack"/>
      <w:bookmarkEnd w:id="1"/>
    </w:p>
    <w:p w14:paraId="0BAACBFD">
      <w:pPr>
        <w:jc w:val="both"/>
        <w:rPr>
          <w:b/>
          <w:sz w:val="28"/>
        </w:rPr>
      </w:pPr>
    </w:p>
    <w:p w14:paraId="4451E82D">
      <w:r>
        <w:t>商务需求：</w:t>
      </w:r>
    </w:p>
    <w:p w14:paraId="7894E611">
      <w:pPr>
        <w:rPr>
          <w:rFonts w:ascii="宋体" w:hAnsi="宋体" w:eastAsia="宋体" w:cs="宋体"/>
          <w:bCs/>
          <w:szCs w:val="21"/>
        </w:rPr>
      </w:pPr>
      <w:r>
        <w:rPr>
          <w:rFonts w:hint="eastAsia"/>
          <w:szCs w:val="21"/>
        </w:rPr>
        <w:t>1、</w:t>
      </w:r>
      <w:r>
        <w:rPr>
          <w:rFonts w:hint="eastAsia" w:ascii="宋体" w:hAnsi="宋体" w:eastAsia="宋体" w:cs="宋体"/>
          <w:bCs/>
          <w:szCs w:val="21"/>
        </w:rPr>
        <w:t>收费需符合浙江省物价政策</w:t>
      </w:r>
    </w:p>
    <w:p w14:paraId="124144D8">
      <w:pPr>
        <w:rPr>
          <w:szCs w:val="21"/>
        </w:rPr>
      </w:pPr>
      <w:r>
        <w:rPr>
          <w:rFonts w:hint="eastAsia"/>
          <w:szCs w:val="21"/>
        </w:rPr>
        <w:t>2、</w:t>
      </w:r>
      <w:r>
        <w:rPr>
          <w:rFonts w:hint="eastAsia" w:ascii="宋体" w:hAnsi="宋体" w:eastAsia="宋体" w:cs="宋体"/>
          <w:bCs/>
          <w:szCs w:val="21"/>
        </w:rPr>
        <w:t>产品须有浙江省药械平台相关产品代码并通过线上采购</w:t>
      </w:r>
    </w:p>
    <w:p w14:paraId="6D80ECE6">
      <w:pPr>
        <w:rPr>
          <w:rFonts w:ascii="宋体" w:hAnsi="宋体" w:eastAsia="宋体" w:cs="宋体"/>
          <w:bCs/>
          <w:szCs w:val="21"/>
        </w:rPr>
      </w:pPr>
      <w:r>
        <w:rPr>
          <w:rFonts w:hint="eastAsia"/>
          <w:szCs w:val="21"/>
        </w:rPr>
        <w:t>3、</w:t>
      </w:r>
      <w:r>
        <w:rPr>
          <w:rFonts w:hint="eastAsia" w:ascii="宋体" w:hAnsi="宋体" w:eastAsia="宋体" w:cs="宋体"/>
          <w:bCs/>
          <w:szCs w:val="21"/>
        </w:rPr>
        <w:t>耗材报价不得高于其在耗材省药械采购中心平台最低价</w:t>
      </w:r>
    </w:p>
    <w:p w14:paraId="548A0049">
      <w:pPr>
        <w:rPr>
          <w:szCs w:val="21"/>
        </w:rPr>
      </w:pPr>
    </w:p>
    <w:p w14:paraId="0816DEB7">
      <w:pPr>
        <w:jc w:val="left"/>
        <w:rPr>
          <w:sz w:val="24"/>
          <w:szCs w:val="28"/>
        </w:rPr>
      </w:pPr>
      <w:bookmarkStart w:id="0" w:name="OLE_LINK1"/>
      <w:r>
        <w:rPr>
          <w:rFonts w:hint="eastAsia"/>
          <w:sz w:val="24"/>
          <w:szCs w:val="28"/>
        </w:rPr>
        <w:t xml:space="preserve">使用科室： </w:t>
      </w:r>
      <w:r>
        <w:rPr>
          <w:rFonts w:hint="eastAsia"/>
          <w:sz w:val="24"/>
          <w:szCs w:val="28"/>
          <w:lang w:val="en-US" w:eastAsia="zh-CN"/>
        </w:rPr>
        <w:t xml:space="preserve">      </w:t>
      </w:r>
      <w:r>
        <w:rPr>
          <w:rFonts w:hint="eastAsia"/>
          <w:sz w:val="24"/>
          <w:szCs w:val="28"/>
        </w:rPr>
        <w:t xml:space="preserve">                            管理科室：医疗设备部</w:t>
      </w:r>
    </w:p>
    <w:p w14:paraId="2C3E36DE">
      <w:pPr>
        <w:jc w:val="left"/>
        <w:rPr>
          <w:sz w:val="24"/>
          <w:szCs w:val="28"/>
        </w:rPr>
      </w:pPr>
      <w:r>
        <w:rPr>
          <w:rFonts w:hint="eastAsia"/>
          <w:sz w:val="24"/>
          <w:szCs w:val="28"/>
        </w:rPr>
        <w:t xml:space="preserve">使用科室负责人：                      </w:t>
      </w:r>
      <w:r>
        <w:rPr>
          <w:rFonts w:hint="eastAsia"/>
          <w:sz w:val="24"/>
          <w:szCs w:val="28"/>
          <w:lang w:val="en-US" w:eastAsia="zh-CN"/>
        </w:rPr>
        <w:t xml:space="preserve">      </w:t>
      </w:r>
      <w:r>
        <w:rPr>
          <w:rFonts w:hint="eastAsia"/>
          <w:sz w:val="24"/>
          <w:szCs w:val="28"/>
        </w:rPr>
        <w:t xml:space="preserve"> 管理科室负责人：</w:t>
      </w:r>
    </w:p>
    <w:p w14:paraId="6B60A070">
      <w:pPr>
        <w:jc w:val="both"/>
        <w:rPr>
          <w:b/>
          <w:sz w:val="28"/>
        </w:rPr>
      </w:pPr>
      <w:r>
        <w:rPr>
          <w:rFonts w:hint="eastAsia"/>
          <w:sz w:val="24"/>
          <w:szCs w:val="28"/>
        </w:rPr>
        <w:t xml:space="preserve">日期：                                </w:t>
      </w:r>
      <w:r>
        <w:rPr>
          <w:rFonts w:hint="eastAsia"/>
          <w:sz w:val="24"/>
          <w:szCs w:val="28"/>
          <w:lang w:val="en-US" w:eastAsia="zh-CN"/>
        </w:rPr>
        <w:t xml:space="preserve">      </w:t>
      </w:r>
      <w:r>
        <w:rPr>
          <w:rFonts w:hint="eastAsia"/>
          <w:sz w:val="24"/>
          <w:szCs w:val="28"/>
        </w:rPr>
        <w:t xml:space="preserve"> 日期：</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3B624A"/>
    <w:multiLevelType w:val="multilevel"/>
    <w:tmpl w:val="5A3B624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xNTFhMTI1NDEyYWJlM2I4OGM3ZGY2Yjg3NmEyN2YifQ=="/>
  </w:docVars>
  <w:rsids>
    <w:rsidRoot w:val="006A5565"/>
    <w:rsid w:val="000A3ABA"/>
    <w:rsid w:val="000A7BD6"/>
    <w:rsid w:val="000D257E"/>
    <w:rsid w:val="000F093A"/>
    <w:rsid w:val="000F48D1"/>
    <w:rsid w:val="000F67C7"/>
    <w:rsid w:val="00161B83"/>
    <w:rsid w:val="00183AE5"/>
    <w:rsid w:val="001C3BE4"/>
    <w:rsid w:val="001D3586"/>
    <w:rsid w:val="001F6C56"/>
    <w:rsid w:val="002012A9"/>
    <w:rsid w:val="002458EA"/>
    <w:rsid w:val="00254AF4"/>
    <w:rsid w:val="00256562"/>
    <w:rsid w:val="0026186E"/>
    <w:rsid w:val="00284C8F"/>
    <w:rsid w:val="00293F43"/>
    <w:rsid w:val="002B3604"/>
    <w:rsid w:val="002C061E"/>
    <w:rsid w:val="002C389B"/>
    <w:rsid w:val="002F2556"/>
    <w:rsid w:val="003302ED"/>
    <w:rsid w:val="003349F1"/>
    <w:rsid w:val="0034533F"/>
    <w:rsid w:val="0035576A"/>
    <w:rsid w:val="0036471F"/>
    <w:rsid w:val="00370A1C"/>
    <w:rsid w:val="00384FCE"/>
    <w:rsid w:val="00397CD9"/>
    <w:rsid w:val="003A09CF"/>
    <w:rsid w:val="003A198B"/>
    <w:rsid w:val="003A2446"/>
    <w:rsid w:val="003D0E29"/>
    <w:rsid w:val="003F32E3"/>
    <w:rsid w:val="00416293"/>
    <w:rsid w:val="00420734"/>
    <w:rsid w:val="004463CA"/>
    <w:rsid w:val="00450EE5"/>
    <w:rsid w:val="0045335C"/>
    <w:rsid w:val="00476C96"/>
    <w:rsid w:val="004A303F"/>
    <w:rsid w:val="004A6CCF"/>
    <w:rsid w:val="004E5AAA"/>
    <w:rsid w:val="004F5267"/>
    <w:rsid w:val="0050789C"/>
    <w:rsid w:val="00511720"/>
    <w:rsid w:val="00545BBE"/>
    <w:rsid w:val="005567BD"/>
    <w:rsid w:val="00556A31"/>
    <w:rsid w:val="0057599B"/>
    <w:rsid w:val="005773B5"/>
    <w:rsid w:val="005800EE"/>
    <w:rsid w:val="00596594"/>
    <w:rsid w:val="005A7B2D"/>
    <w:rsid w:val="005B3E61"/>
    <w:rsid w:val="005B6BB7"/>
    <w:rsid w:val="00606D08"/>
    <w:rsid w:val="006254F7"/>
    <w:rsid w:val="0066039D"/>
    <w:rsid w:val="006A5565"/>
    <w:rsid w:val="006D0EA4"/>
    <w:rsid w:val="006E7EFF"/>
    <w:rsid w:val="006F0AAF"/>
    <w:rsid w:val="00705EFA"/>
    <w:rsid w:val="007254B6"/>
    <w:rsid w:val="00747507"/>
    <w:rsid w:val="0075369C"/>
    <w:rsid w:val="00775A36"/>
    <w:rsid w:val="00794B87"/>
    <w:rsid w:val="00796D72"/>
    <w:rsid w:val="00797AE6"/>
    <w:rsid w:val="007A519C"/>
    <w:rsid w:val="007A7AF9"/>
    <w:rsid w:val="007D0753"/>
    <w:rsid w:val="00812ED1"/>
    <w:rsid w:val="0083577A"/>
    <w:rsid w:val="00854571"/>
    <w:rsid w:val="008A15FB"/>
    <w:rsid w:val="008A4027"/>
    <w:rsid w:val="008B69D6"/>
    <w:rsid w:val="008B7161"/>
    <w:rsid w:val="008D6F81"/>
    <w:rsid w:val="008D6FC7"/>
    <w:rsid w:val="008E2148"/>
    <w:rsid w:val="008F1B69"/>
    <w:rsid w:val="00901C4A"/>
    <w:rsid w:val="00904546"/>
    <w:rsid w:val="009777E8"/>
    <w:rsid w:val="009B4BEF"/>
    <w:rsid w:val="009C3814"/>
    <w:rsid w:val="00A14A6D"/>
    <w:rsid w:val="00A74162"/>
    <w:rsid w:val="00AB085B"/>
    <w:rsid w:val="00AC1371"/>
    <w:rsid w:val="00AE321F"/>
    <w:rsid w:val="00AE5D35"/>
    <w:rsid w:val="00B06419"/>
    <w:rsid w:val="00B12615"/>
    <w:rsid w:val="00B32E6B"/>
    <w:rsid w:val="00B4436D"/>
    <w:rsid w:val="00B45019"/>
    <w:rsid w:val="00B51A2A"/>
    <w:rsid w:val="00B5719F"/>
    <w:rsid w:val="00B816A3"/>
    <w:rsid w:val="00BC2BDF"/>
    <w:rsid w:val="00BF1264"/>
    <w:rsid w:val="00C00344"/>
    <w:rsid w:val="00C04FD2"/>
    <w:rsid w:val="00C9027D"/>
    <w:rsid w:val="00CB46F5"/>
    <w:rsid w:val="00CC2D54"/>
    <w:rsid w:val="00CD4620"/>
    <w:rsid w:val="00D0051D"/>
    <w:rsid w:val="00D47063"/>
    <w:rsid w:val="00D50618"/>
    <w:rsid w:val="00D54CDB"/>
    <w:rsid w:val="00D55A2A"/>
    <w:rsid w:val="00D55F8C"/>
    <w:rsid w:val="00D727FD"/>
    <w:rsid w:val="00DA0C11"/>
    <w:rsid w:val="00DC3289"/>
    <w:rsid w:val="00DC7046"/>
    <w:rsid w:val="00E06941"/>
    <w:rsid w:val="00E12C2B"/>
    <w:rsid w:val="00E359E4"/>
    <w:rsid w:val="00E52718"/>
    <w:rsid w:val="00E6292F"/>
    <w:rsid w:val="00E85402"/>
    <w:rsid w:val="00E93054"/>
    <w:rsid w:val="00EA2BEA"/>
    <w:rsid w:val="00EB3945"/>
    <w:rsid w:val="00ED71F0"/>
    <w:rsid w:val="00EF21D7"/>
    <w:rsid w:val="00F14FBA"/>
    <w:rsid w:val="00F17758"/>
    <w:rsid w:val="00F24EB1"/>
    <w:rsid w:val="00F335A4"/>
    <w:rsid w:val="00F357F9"/>
    <w:rsid w:val="00F5347C"/>
    <w:rsid w:val="00F704A8"/>
    <w:rsid w:val="00F74E98"/>
    <w:rsid w:val="00F9534A"/>
    <w:rsid w:val="00FA78D9"/>
    <w:rsid w:val="00FB3A85"/>
    <w:rsid w:val="00FB60C6"/>
    <w:rsid w:val="00FC515D"/>
    <w:rsid w:val="02F94AB6"/>
    <w:rsid w:val="0C4D2867"/>
    <w:rsid w:val="18716AD0"/>
    <w:rsid w:val="283C4A08"/>
    <w:rsid w:val="332F2EB5"/>
    <w:rsid w:val="3F910D7D"/>
    <w:rsid w:val="600A2FD4"/>
    <w:rsid w:val="6AC80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143</Words>
  <Characters>143</Characters>
  <Lines>1</Lines>
  <Paragraphs>1</Paragraphs>
  <TotalTime>0</TotalTime>
  <ScaleCrop>false</ScaleCrop>
  <LinksUpToDate>false</LinksUpToDate>
  <CharactersWithSpaces>143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2022-03-08T00:53:00Z</dcterms:created>
  <dc:creator>hp</dc:creator>
  <cp:lastModifiedBy>林忠款</cp:lastModifiedBy>
  <cp:lastPrinted>2021-01-22T06:25:00Z</cp:lastPrinted>
  <dcterms:modified xsi:type="dcterms:W3CDTF">2026-06-11T06:51:49Z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B3F6C07A418A461C990F0120F14B777D</vt:lpwstr>
  </property>
  <property fmtid="{D5CDD505-2E9C-101B-9397-08002B2CF9AE}" pid="4" name="KSOTemplateDocerSaveRecord">
    <vt:lpwstr>eyJoZGlkIjoiYmQ3NjQxYmZmN2ZkODIxYWNiNTEzMzQyMTZmNzQ1MmMiLCJ1c2VySWQiOiIxNzAwNTk5MDQwIn0=</vt:lpwstr>
  </property>
</Properties>
</file>