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8FEEF">
      <w:pPr>
        <w:pStyle w:val="2"/>
        <w:snapToGrid w:val="0"/>
        <w:spacing w:beforeAutospacing="0" w:afterAutospacing="0"/>
        <w:ind w:firstLine="723" w:firstLineChars="200"/>
        <w:jc w:val="center"/>
        <w:rPr>
          <w:rFonts w:hint="default"/>
          <w:color w:val="000000"/>
          <w:sz w:val="24"/>
          <w:szCs w:val="24"/>
        </w:rPr>
      </w:pPr>
      <w:r>
        <w:rPr>
          <w:color w:val="000000"/>
          <w:sz w:val="36"/>
          <w:szCs w:val="36"/>
        </w:rPr>
        <w:t>实验动物线上管理系统采购参数</w:t>
      </w:r>
    </w:p>
    <w:p w14:paraId="1DC2C1CF">
      <w:pPr>
        <w:pStyle w:val="3"/>
        <w:widowControl/>
        <w:spacing w:beforeAutospacing="0" w:afterAutospacing="0" w:line="360" w:lineRule="atLeast"/>
        <w:rPr>
          <w:rFonts w:hint="defaul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一、项目概况</w:t>
      </w:r>
    </w:p>
    <w:p w14:paraId="31E93825">
      <w:pPr>
        <w:widowControl/>
        <w:spacing w:line="360" w:lineRule="atLeast"/>
        <w:ind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1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.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采购内容：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实验动物线上管理系统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一套。</w:t>
      </w:r>
    </w:p>
    <w:p w14:paraId="61231311">
      <w:pPr>
        <w:widowControl/>
        <w:spacing w:line="360" w:lineRule="atLeast"/>
        <w:ind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2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.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核心产品：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实验动物线上管理系统</w:t>
      </w:r>
    </w:p>
    <w:p w14:paraId="5A66F257">
      <w:pPr>
        <w:widowControl/>
        <w:spacing w:line="360" w:lineRule="atLeast"/>
        <w:ind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3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采购目的：</w:t>
      </w:r>
      <w:bookmarkStart w:id="1" w:name="_GoBack"/>
      <w:bookmarkEnd w:id="1"/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围绕建设智能化、信息化实验动物中心的战略任务，本项目旨在建成一套覆盖实验动物全生命周期管理的数字化平台，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覆盖伦理审查、培训管理、动物订购、饲养繁育、工单服务、财务结算、动物转运、设施及设备对接、门禁联动等全部业务，达成实验动物业务全流程电子化、数字化管理。</w:t>
      </w:r>
    </w:p>
    <w:p w14:paraId="0CD9DAE8">
      <w:pPr>
        <w:pStyle w:val="3"/>
        <w:widowControl/>
        <w:spacing w:beforeAutospacing="0" w:afterAutospacing="0" w:line="360" w:lineRule="atLeast"/>
        <w:rPr>
          <w:rFonts w:hint="defaul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二、技术要求</w:t>
      </w:r>
    </w:p>
    <w:p w14:paraId="1B826AF9"/>
    <w:p w14:paraId="497AD5ED"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1）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实验动物线上管理系统</w:t>
      </w:r>
    </w:p>
    <w:p w14:paraId="4CEFAC62"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前端用户界面</w:t>
      </w:r>
    </w:p>
    <w:p w14:paraId="14C21BE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伦理申请引导页；</w:t>
      </w:r>
    </w:p>
    <w:p w14:paraId="20E7C75C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培训班次信息展示；</w:t>
      </w:r>
    </w:p>
    <w:p w14:paraId="7B9BBE8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笼位统计展示，同时可以在线申请笼位；</w:t>
      </w:r>
    </w:p>
    <w:p w14:paraId="4BADC7F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动物规格列表，支持商城式加入购物车操作；</w:t>
      </w:r>
    </w:p>
    <w:p w14:paraId="3ECF5AB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技术服务、定制服务的展示及申请提交；</w:t>
      </w:r>
    </w:p>
    <w:p w14:paraId="0256E3AF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课题组注册：选择PI所属单位、工学号、姓名、邮箱、手机号、密码等信息，进行课题组注册，注册提交之后，由管理员进行审核；</w:t>
      </w:r>
    </w:p>
    <w:p w14:paraId="1167239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学生注册：选择所属单位、所属课题组、工学号、姓名、邮箱、手机号码、密码登信息，进行注册，由课题组负责人进行审核；</w:t>
      </w:r>
    </w:p>
    <w:p w14:paraId="1713D97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支持对接上级统一身份认证，同步上级单位用户信息；</w:t>
      </w:r>
    </w:p>
    <w:p w14:paraId="492FF3B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支持通过邮箱、手机号、工学号多种方式登录；</w:t>
      </w:r>
    </w:p>
    <w:p w14:paraId="2FAB129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系统应提供在线客服系统功能，当客服在线时候，用户可直接在线沟通，若客服不在线，则可在线留言，客服可直接回复邮件进行解答问题。</w:t>
      </w:r>
    </w:p>
    <w:p w14:paraId="3323859A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用户管理</w:t>
      </w:r>
    </w:p>
    <w:p w14:paraId="083886AD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客户单位管理（对客户单位进行查询，创建和修改，分类，可区分同一产品对应不同价格）；</w:t>
      </w:r>
    </w:p>
    <w:p w14:paraId="44FE4CE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课题组管理：查看系统中注册的课题组，以及课题组负责人，成员等信息；</w:t>
      </w:r>
    </w:p>
    <w:p w14:paraId="7CEB22D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客户管理：管理前台注册的账号，可查询，修改相关信息，可批量导入用户；</w:t>
      </w:r>
    </w:p>
    <w:p w14:paraId="18518EB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实名认证审核：管理员可以查看实名认证申请信息，核对后可对用户做出实名认证是否通过的结果，系统支持通过开关来关闭或打开该功能；</w:t>
      </w:r>
    </w:p>
    <w:p w14:paraId="3D94063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客户统计，基于客户单位的课题组数量、客户数量、实名认证数量等统计；</w:t>
      </w:r>
    </w:p>
    <w:p w14:paraId="6031D93E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系统可以设置用户密码复杂度，如：简单、一般、复杂等；</w:t>
      </w:r>
    </w:p>
    <w:p w14:paraId="28E313C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用户单位类别设置，可以创建内部单位、外部单位。</w:t>
      </w:r>
    </w:p>
    <w:p w14:paraId="18780663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个人中心</w:t>
      </w:r>
    </w:p>
    <w:p w14:paraId="797240FE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个人中心首页：待办提醒、最近的操作记录展示；</w:t>
      </w:r>
    </w:p>
    <w:p w14:paraId="193375C3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我的伦理申请：展示用户的伦理申请记录，按照基金申报、实验方案分别展示，同时支持新建、编辑伦理申请，还可以提交审查证明；</w:t>
      </w:r>
    </w:p>
    <w:p w14:paraId="5E58557D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我的实验：显示用户的实验信息，按照审核中、进行中、已结束分别展示不同进度的实验，支持新建、编辑实验；</w:t>
      </w:r>
    </w:p>
    <w:p w14:paraId="57FADB9B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我的培训：显示用户的报名培训记录、考试记录、以及行为记录，同时，用户可以在这个界面上传个人证书，以供后台审核；</w:t>
      </w:r>
    </w:p>
    <w:p w14:paraId="3C865B5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我的饲养繁育：显示当前用户饲养笼位，包括饲养申请、笼架、动物、繁殖笼、饲养统计、饲养报告、检疫记录等；</w:t>
      </w:r>
    </w:p>
    <w:p w14:paraId="7ACB455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我的订单：当前用户的动物订单或其他购买订单，用户可以在订单被受理之前，取消订单，并填写取消理由；</w:t>
      </w:r>
    </w:p>
    <w:p w14:paraId="3B14989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再来一单功能：用户可直接对动物购买订单，点击再来一单，系统自动将现有的动物规格加入购物车，并跳转到购物车界面；</w:t>
      </w:r>
    </w:p>
    <w:p w14:paraId="01D422E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我的转运：显示当前用户提交的动物转运执行单、物品传出记录；</w:t>
      </w:r>
    </w:p>
    <w:p w14:paraId="18F9C33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我的设施：显示当前用户拥有的设施的权限，已经申请的设施权限，同时可在线提交权限申请，查看当前用户的进出记录；</w:t>
      </w:r>
    </w:p>
    <w:p w14:paraId="1271724C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我的工单任务：显示当前用户提交技术服务后，需要他做出反馈的任务；</w:t>
      </w:r>
    </w:p>
    <w:p w14:paraId="1F64FF9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我的费用：显示当前用户在系统中产生的各种费用账单，包括消费记录、充值结算记录等，同时账单支持按照汇总、动物账单、饲养账单、工单服务、进出等分类展示；</w:t>
      </w:r>
    </w:p>
    <w:p w14:paraId="7B5B87D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我的建议：显示当前登录用户，针对系统或动物中心提交的建议意见；</w:t>
      </w:r>
    </w:p>
    <w:p w14:paraId="2ED2CFDC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课题组的伦理：显示课题组内组员提交的所有伦理申请，可以审核组员提交的伦理申请；</w:t>
      </w:r>
    </w:p>
    <w:p w14:paraId="63905179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项目实验管理：课题组负责人或代理人，可以管理课题组的所有项目以及实验，可以新建或编辑项目，项目字段包括：标题、编号、经费、来源、负责人、承担单位、动物费上限、饲养费上限、项目开始日期、项目截止日期、相关相关的实验人员；</w:t>
      </w:r>
    </w:p>
    <w:p w14:paraId="5DCCA379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课题组培训管理：列出课题组组员提交的培训申请，课题组负责人可以进行审核；</w:t>
      </w:r>
    </w:p>
    <w:p w14:paraId="67F20747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课题组的饲养繁育：管理课题组的饲养申请、笼架、动物、繁殖笼、饲养统计、饲养报告、品系等信息；</w:t>
      </w:r>
    </w:p>
    <w:p w14:paraId="26CD829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课题组订单管理：课题组负责人或代理人，可以管理课题组的各种订单，可以审核订单，支持导出订单；</w:t>
      </w:r>
    </w:p>
    <w:p w14:paraId="5559142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课题组工单任务：显示当前课题组组员的工单申请，也可以进行审核；</w:t>
      </w:r>
    </w:p>
    <w:p w14:paraId="7CD587B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课题组的设施进出记录：管理课题组组员的设施进去记录，也可以审核组员提出的权限申请；</w:t>
      </w:r>
    </w:p>
    <w:p w14:paraId="453E14FF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课题组转运申请：管理课题组的转运申请，可以新建和编辑申请，可以查看所有转运执行单；</w:t>
      </w:r>
    </w:p>
    <w:p w14:paraId="671F253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课题组费用管理：课题组负责人或代理人，可以查看课题组当前的账户余额，以及账目流水、消费记录、付款记录等信息；</w:t>
      </w:r>
    </w:p>
    <w:p w14:paraId="47C8F3F3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课题组成员管理：课题组负责人可审核加入课题组的申请、指定课题组代理人、联系人，可以查看课题组成员授权的设施；</w:t>
      </w:r>
    </w:p>
    <w:p w14:paraId="6FFA9320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子课题组管理：管理当前课题组下属的子课题组，同时可以查看子课题组的财务费用信息；</w:t>
      </w:r>
    </w:p>
    <w:p w14:paraId="370A389B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课题组设置：可设置，是否需要审批购买订单、饲养订单、技术服务订单等，新课题组成员，是否自动加入所有项目；</w:t>
      </w:r>
    </w:p>
    <w:p w14:paraId="704BAD5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个人信息设置：修改个人信息、密码等信息；</w:t>
      </w:r>
    </w:p>
    <w:p w14:paraId="37CE839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通知管理：查看系统通知、设置通知接收方式；</w:t>
      </w:r>
    </w:p>
    <w:p w14:paraId="312F442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提交实名认证，用户可在线提交一卡通或其他证件照片，提交实名认证。</w:t>
      </w:r>
    </w:p>
    <w:p w14:paraId="0951BE1B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伦理审批</w:t>
      </w:r>
    </w:p>
    <w:p w14:paraId="1ABB7E3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在线提交申请：用户在线提交申请表，申请表为在线表单方式，申请表支持定制，系统支持自动保存，防止用户数据丢失，填写完以后，可以暂存，也可以直接提交审核；</w:t>
      </w:r>
    </w:p>
    <w:p w14:paraId="171B05D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初级审查：IACUC秘书进行常规检查，如申请有问题，则可以审核不通过，退回让申请者重新填写，如果审核通过，则可以选择下一步审批规则（根据申请的目的）；</w:t>
      </w:r>
    </w:p>
    <w:p w14:paraId="759891F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专家审查：专家进行审核，可以按照比例，如：3个专家审核，2个专家审核通过即可通过，专家数量支持自定义；</w:t>
      </w:r>
    </w:p>
    <w:p w14:paraId="754FB02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专家投票：如果申请目的为发文章，则该申请会流转到专家投票环节，所有审核专家，均需进行投票，系统可设置有效投票数，通过投票数等关键阈值；</w:t>
      </w:r>
    </w:p>
    <w:p w14:paraId="18CE960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支持自定义评审规则，支持预定义专家审核规则，投票规则；</w:t>
      </w:r>
    </w:p>
    <w:p w14:paraId="35044DCF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伦理证明的申请以及审核：由用户发起证明申请，伦理委员会审批后，进行发放；</w:t>
      </w:r>
    </w:p>
    <w:p w14:paraId="7FF2971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伦理统计：按申请单位统计、初审工作量统计、专家审批工作量统计、专家投票工作量统计；</w:t>
      </w:r>
    </w:p>
    <w:p w14:paraId="03287AEC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专家可针对申请表的具体条目进行评阅，申请者可以看到被评阅的条目，然后针对这个条目进行修改，可高亮显示申请者修改的内容，方便专家直接评阅；</w:t>
      </w:r>
    </w:p>
    <w:p w14:paraId="27C6EF8B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系统自动按时间顺序给予伦理审核通过编号（编号格式可以预设），以及批准日期，审核完成后给出审核通过的通知，可以下载的PDF格式（有伦理委员会主任委员的电子签名，及伦理委员会电子章）。</w:t>
      </w:r>
    </w:p>
    <w:p w14:paraId="36CB0331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培训管理</w:t>
      </w:r>
    </w:p>
    <w:p w14:paraId="442101E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培训科目管理：管理培训系统的所有科目，如：理论科目、实践科目等；</w:t>
      </w:r>
    </w:p>
    <w:p w14:paraId="3E16EAE9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培训流程管理，管理培训流程，如：准入培训流程；</w:t>
      </w:r>
    </w:p>
    <w:p w14:paraId="07A58FD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培训老师信息维护：维护培训老师的相关信息；</w:t>
      </w:r>
    </w:p>
    <w:p w14:paraId="5D85B7ED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培训班次管理：可新开培训班次，学生可根据班次进行报名；</w:t>
      </w:r>
    </w:p>
    <w:p w14:paraId="70DF8EFB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可管理班次的报名名单，查看班次明细，导入往期学员，班次转移等操作；</w:t>
      </w:r>
    </w:p>
    <w:p w14:paraId="6DC28F7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培训记录管理：可查看培训的历史记录；</w:t>
      </w:r>
    </w:p>
    <w:p w14:paraId="12CE7787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培训资料管理，编辑培训资料，包括文字、图片、视频等；</w:t>
      </w:r>
    </w:p>
    <w:p w14:paraId="5A700A4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在线题库、试题维护，试卷维护；</w:t>
      </w:r>
    </w:p>
    <w:p w14:paraId="1C1445E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支持按章节显示培训资料，并供用户在线学习阅读；</w:t>
      </w:r>
    </w:p>
    <w:p w14:paraId="01EB1297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培训资料可按照资料内容进行分类，每个大类学习完，可在线进行模拟测试;</w:t>
      </w:r>
    </w:p>
    <w:p w14:paraId="09359AFD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视频仅在线观看学习，具备防下载机制，具备自动水印防截屏及拍摄机制，水印自动添加本单位名称、用户账号及时间戳信息；</w:t>
      </w:r>
    </w:p>
    <w:p w14:paraId="4B24D0D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所有大类在线学习完之后，可以在线考试，试卷支持必选题、随机题目；</w:t>
      </w:r>
    </w:p>
    <w:p w14:paraId="6F3F25F0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在线考试应定时自动保存试卷，考试时间结束，系统应自动提交试卷，并提醒用户，超时提交，系统只保留最后一次有效时间内的记录；</w:t>
      </w:r>
    </w:p>
    <w:p w14:paraId="6CEDCBC7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证书管理：管理员可以在线审核用户提交的培训证书；</w:t>
      </w:r>
    </w:p>
    <w:p w14:paraId="150934D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信用记录管理，可对用户的信用记录进行管理，支持扣分加分，并且，分值扣完，系统可暂停其门禁的进入，违规后系统直接通报相关人员，在信息网站上通报同步自动更新，自动记录违规次数。</w:t>
      </w:r>
    </w:p>
    <w:p w14:paraId="09D74CC8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饲养繁育</w:t>
      </w:r>
    </w:p>
    <w:p w14:paraId="25B07413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首页展示：繁育工作提醒、最新需要剪尾的窝崽、最新需要检查出生的繁殖笼、最新需要分笼的窝崽；</w:t>
      </w:r>
    </w:p>
    <w:p w14:paraId="1DEDAF43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饲养申请</w:t>
      </w:r>
    </w:p>
    <w:p w14:paraId="3E1759F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即用笼位申请：区域负责人负责审核该区域的饲养申请，区域负责人查看订单明细，包括申请房间、笼位、数量等。审核可选：通过和不通过。饲养订单按动物来源分为：自行采购和动物中心代购，饲养区域负责人，可手动给自行采购的饲养订单分配笼位，并指定这些笼位的饲养价格；</w:t>
      </w:r>
    </w:p>
    <w:p w14:paraId="665564C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接收：针对准备入室饲养的动物，进行接收操作，同时可以编辑动物的附加信息，包括：合格证号、许可证号、用途、使用数量、使用日期、开证日期、接收日期等信息。如果动物为用户自行采购，则可以打印饲养准入标签，以供后继扫码入室；</w:t>
      </w:r>
    </w:p>
    <w:p w14:paraId="3B13BC2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转出申请管理：管理所有从本区域转出的申请，审核可以选择通过或不通过。审核通过以后，支持打印转出许可标签，饲养员包好鼠以后，携带该许可标签到目标区域，目标区域通过扫码，进行接收操作；</w:t>
      </w:r>
    </w:p>
    <w:p w14:paraId="610EC0DC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笼位预约排队：区域负责人可以查看该区域当前笼位排队情况，有多余空闲笼位后，可联系课题组，将空闲笼位分配给该课题组；</w:t>
      </w:r>
    </w:p>
    <w:p w14:paraId="3C5ABF63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延期申请：课题组可针对自己即将到期的笼位，进行延期申请，对应的设施负责人可进行审核；</w:t>
      </w:r>
    </w:p>
    <w:p w14:paraId="0F348AFB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包笼位申请：管理所有本区域的包笼位申请，包括查看、审核等功能；</w:t>
      </w:r>
    </w:p>
    <w:p w14:paraId="665EA06B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代管申请：管理所有本区域的代管申请。</w:t>
      </w:r>
    </w:p>
    <w:p w14:paraId="2EF0BE2C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饲养笼架管理</w:t>
      </w:r>
    </w:p>
    <w:p w14:paraId="18EC445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以树状结构展示当前登录的用户被许可访问的房间，以及房间内的笼架。点击笼架后，以模拟真实笼架布局的方式展示笼位信息、支持拖拽实现移笼、配繁。笼盒需要有如下可展示信息：动物编号、品系、基因型、生日、标号、性别、状态、交配日期、所有者、电话、项目、课题组、联系人、联系电话、饲养价格。笼位需要有如下可展示信息：锁定信息、分配信息、订单预留信息；</w:t>
      </w:r>
    </w:p>
    <w:p w14:paraId="3B433B8E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动物操作：处死、编辑、移动/分笼、基因鉴定、修改状态、测量数据、查看历史记录；</w:t>
      </w:r>
    </w:p>
    <w:p w14:paraId="4E79A0FC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笼盒操作：清理笼盒、编辑笼盒、移动笼盒、修改状态、修改订单信息、清空订单信息、打印笼盒标签、变更笼盒联系人；</w:t>
      </w:r>
    </w:p>
    <w:p w14:paraId="2273794D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笼位操作：导入笼盒，支持导入普通笼盒、哨兵笼盒、测压笼盒；锁定笼位、解锁笼位、笼位分配（适合包笼位的课题组）、笼位授权、取消授权；</w:t>
      </w:r>
    </w:p>
    <w:p w14:paraId="4896A640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笼架操作：打印笼架标签、笼架授权、取消授权；</w:t>
      </w:r>
    </w:p>
    <w:p w14:paraId="24F0EC8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繁殖笼管理</w:t>
      </w:r>
    </w:p>
    <w:p w14:paraId="0DC691D0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繁殖笼：可列出当前用户的所有繁殖笼，也可以列出系统所有的繁殖笼。针对繁殖笼，可以进行：报告产仔、编辑、结束繁殖笼等操作。报告产仔需要提交如下信息：父母、生日、是否需要鉴定、代数、以及备注信息；</w:t>
      </w:r>
    </w:p>
    <w:p w14:paraId="134CCE8B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需要检查出生的繁殖笼：系统需自动列出所有需要检查出生状况的繁殖笼；</w:t>
      </w:r>
    </w:p>
    <w:p w14:paraId="53427C3E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需要剪尾的窝崽：系统自动列出所有需要剪尾的窝崽；</w:t>
      </w:r>
    </w:p>
    <w:p w14:paraId="1E3ED3A4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需要分笼的窝崽：系统自动列出所有需要分笼的窝崽；</w:t>
      </w:r>
    </w:p>
    <w:p w14:paraId="39A46F71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待鉴定的窝崽：系统自动列出所有需要鉴定的窝崽；</w:t>
      </w:r>
    </w:p>
    <w:p w14:paraId="07FDB51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对于窝崽，支持：剪尾、分笼等操作。</w:t>
      </w:r>
    </w:p>
    <w:p w14:paraId="62A3FF7D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动物管理：以列表的方式，管理系统中的所有动物。支持按品系、基因型、性别、周龄、生日、毛色等进行搜索。对于动物以及笼盒，支持所有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”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饲养笼架管理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”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中描述的所有操作，并支持导出动物为Excel文件。</w:t>
      </w:r>
    </w:p>
    <w:p w14:paraId="0E37AE7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导入：需要填写导入信息，包括：导入日期、动物类型、动物提供者、饲养申请单号、导入方式（手动或Excel），导入位置（自动获得、指定位置），如果是自动获得位置，还需要指定目标房间信息以及每笼小鼠数量。系统可以提供Excel模板供用户下载，填写后上传模板，系统自动识别Excel里动物信息，并做上传。</w:t>
      </w:r>
    </w:p>
    <w:p w14:paraId="65F07ED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测量数据：支持新建测量分组、并可以将需要分组测量的动物加入分组。通过网页端的小鼠操作或平板APP对小鼠测量数据进行登记。</w:t>
      </w:r>
    </w:p>
    <w:p w14:paraId="5ED416A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笼位核查，支持查看平板APP上笼位的核查结果、并可执行笼位核查结果。</w:t>
      </w:r>
    </w:p>
    <w:p w14:paraId="78E4632E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未执行的核查记录：查看本周核查结束，但未执行核查结果的记录；</w:t>
      </w:r>
    </w:p>
    <w:p w14:paraId="36992377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本周核查进展：查看本周的核查进展；</w:t>
      </w:r>
    </w:p>
    <w:p w14:paraId="0BF1137C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历史核查记录：查看历史核查记录；</w:t>
      </w:r>
    </w:p>
    <w:p w14:paraId="61D37F9E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核查点的维护：维护系统中的笼位核查点；</w:t>
      </w:r>
    </w:p>
    <w:p w14:paraId="5F39DC2D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标签管理：支持查看系统所有在用的标签，并支持重新打印标签；</w:t>
      </w:r>
    </w:p>
    <w:p w14:paraId="76C689F2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待打印标签：所有因为核查而需要打印的标签;</w:t>
      </w:r>
    </w:p>
    <w:p w14:paraId="634A3F3C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实验动物代管</w:t>
      </w:r>
    </w:p>
    <w:p w14:paraId="03DA924A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动物代管申请：用户填写申请表单：如果动物来源是外购时，只能选择到实验区（区域），如果动物来源是生物净化时，可以选择到实验区和繁殖区（区域）。</w:t>
      </w:r>
    </w:p>
    <w:p w14:paraId="126C7791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表单填写提交后，课题组审核，而后区域负责人审核；审核通过后，自动生成品系信息，只能该课题组使用；</w:t>
      </w:r>
    </w:p>
    <w:p w14:paraId="381C2678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审核通过后，代管区域管理员指定笼盒位置，导入笼盒和动物，开始代管，用户填写的笼盒数量和动物数量可能与实际不同，所以代管区域管理员可以自己进行增减；</w:t>
      </w:r>
    </w:p>
    <w:p w14:paraId="74F73879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如果选择了配繁，到达8周时系统需发送通知给客户和管理员；报告产崽出生日期7天后，进行采样通知提醒；分笼后，如果没有后续的代管指令工单，则需要通知用户；</w:t>
      </w:r>
    </w:p>
    <w:p w14:paraId="02CB7D6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繁殖笼在8月大的时候需要通知换代；</w:t>
      </w:r>
    </w:p>
    <w:p w14:paraId="68C19882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管理员在后台可以看到品系的统计数据；管理员在后台可以看到库存笼、繁殖笼的状态；</w:t>
      </w:r>
    </w:p>
    <w:p w14:paraId="4C134C43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中途代管：用户在个人饲养笼架页面选择笼盒进行代管工单提交；</w:t>
      </w:r>
    </w:p>
    <w:p w14:paraId="52E93D99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表单填写提交后，课题组审核，而后区域负责人审核；</w:t>
      </w:r>
    </w:p>
    <w:p w14:paraId="55EA4C9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提交成功后开始代管，后续需求与上述功能一致。</w:t>
      </w:r>
    </w:p>
    <w:p w14:paraId="5B0760C1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代管指令：用户在个人饲养笼架页面选择笼盒进行代管指令工单提交；表单填写提交后，课题组审核，而后区域负责人审核；提交成功后代管人员根据代管指令内容进行操作，而后在任务中进行反馈。</w:t>
      </w:r>
    </w:p>
    <w:p w14:paraId="2AD4EB5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品系管理</w:t>
      </w:r>
    </w:p>
    <w:p w14:paraId="13BDB809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品系信息包括：品系全称、简称、曾用名、编号、相关基因、相关基因类型、共享范围、鉴定报告、鉴定方案等；</w:t>
      </w:r>
    </w:p>
    <w:p w14:paraId="660CF3A2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品系类型管理，支持无限级品系类型分类；</w:t>
      </w:r>
    </w:p>
    <w:p w14:paraId="1013FB98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基因管理，查看系统中所有的基因信息；</w:t>
      </w:r>
    </w:p>
    <w:p w14:paraId="64DAB881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研究领域维护：维护品系的研究领域。</w:t>
      </w:r>
    </w:p>
    <w:p w14:paraId="6E0CC3DC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动物处理</w:t>
      </w:r>
    </w:p>
    <w:p w14:paraId="202504B9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动物的处理记录；</w:t>
      </w:r>
    </w:p>
    <w:p w14:paraId="5A483F29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尸体处理登记；</w:t>
      </w:r>
    </w:p>
    <w:p w14:paraId="6C61144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动物死亡登记。</w:t>
      </w:r>
    </w:p>
    <w:p w14:paraId="3EEF7DFB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饲养统计</w:t>
      </w:r>
    </w:p>
    <w:p w14:paraId="0905EE5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支持基础统计，统计信息包括：饲养房间数、总笼架数、笼位总数、笼盒总数、繁殖笼总数、品系总数、活体品系数量、动物数量。支持通过日期限定，查询笼位的具体使用情况、动物数量、笼位锁定情况；</w:t>
      </w:r>
    </w:p>
    <w:p w14:paraId="7E0DEA36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按房间统计：按饲养房间，统计每个房间的笼位总数、实际饲养笼位数、测压与哨兵鼠笼位、被锁定笼位数、分配的笼位数、订单预留的笼位数、可以使用的笼位数；</w:t>
      </w:r>
    </w:p>
    <w:p w14:paraId="43C9E57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按课题组统计：按照课题组，统计每个课题组的笼位使用情况，支持查看笼位变化数量，支持查看当前课题组具体的饲养位置，笼位变化的位置；</w:t>
      </w:r>
    </w:p>
    <w:p w14:paraId="39F8C4D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按联系人统计：按照课题组的具体联系人，统计笼位使用情况，支持查看笼位变化数量，支持查看具体饲养位置，以及笼位变化的位置；</w:t>
      </w:r>
    </w:p>
    <w:p w14:paraId="4380AA1B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区域汇总：按照饲养区域，进行饲养状况的汇总，包括这个区域内所有课题组，以及课题组下的联系人具体的饲养状况；</w:t>
      </w:r>
    </w:p>
    <w:p w14:paraId="725315DD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支持每日自动扣除饲养费，该笔饲养费直接在财务模块记账。</w:t>
      </w:r>
    </w:p>
    <w:p w14:paraId="33EE0A00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参数设置：设置动物类型、处死原因、笼卡颜色、毛色、动物状态、笼架界面的展示信息、疾病类型、治疗方案、实体处理点、笼位上限、测量类型等；</w:t>
      </w:r>
    </w:p>
    <w:p w14:paraId="16F917F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课题组的学生可以在个人中心对自己的小鼠进行配繁、报告产仔、分笼、鉴定等操作；课题组负责人可以查看到其课题组下的所有品系、小鼠、繁殖笼等信息，但用户的操作仅限在动物中心给其授权的笼位。</w:t>
      </w:r>
    </w:p>
    <w:p w14:paraId="7A6EF81E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饲养繁育平板电脑APP</w:t>
      </w:r>
    </w:p>
    <w:p w14:paraId="575287A7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登录方式：支持扫码、账号密码登录方式：网页后台，可以生成用户的二维码信息，并可打印标签，粘贴在用户的工牌上，供扫码登录。</w:t>
      </w:r>
    </w:p>
    <w:p w14:paraId="3DBA1DE0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APP首页</w:t>
      </w:r>
    </w:p>
    <w:p w14:paraId="673CCDAC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快捷操作：笼位核查、繁殖笼、我的任务；</w:t>
      </w:r>
    </w:p>
    <w:p w14:paraId="6D817049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我的待办事宜：待办的任务、繁殖笼情况、工作提醒。</w:t>
      </w:r>
    </w:p>
    <w:p w14:paraId="5E1E802D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浏览笼架功能：以房间标签页方式，展示该房间的笼架信息</w:t>
      </w:r>
    </w:p>
    <w:p w14:paraId="7B27AB5E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笼架信息浏览：模拟笼架的布局、展示笼位、笼盒、动物信息；</w:t>
      </w:r>
    </w:p>
    <w:p w14:paraId="49AA3BF3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可选择笼盒显示信息选项，如：动物编号、品系、基因型、生日、标号、性别、状态、代数、交配日期、所有者、电话、课题、联系人、价格；</w:t>
      </w:r>
    </w:p>
    <w:p w14:paraId="65EB52C1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可选择笼位显示信息选项，如：锁定信息、分配信息、订单预留；</w:t>
      </w:r>
    </w:p>
    <w:p w14:paraId="7177FDA9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长按笼盒，可弹出当前位置可操作的菜单，如：打开笼盒、修改订单信息、打印笼盒、锁定位置、绑定笼卡，绑定笼卡针对无标签的笼盒绑定新打印的标签。</w:t>
      </w:r>
    </w:p>
    <w:p w14:paraId="25300F3D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笼盒操作：通过扫描笼卡上的二维码，或在笼架界面长按，选择打开笼盒，则进入笼盒操作界面，笼盒操作界面包含的功能如下：</w:t>
      </w:r>
    </w:p>
    <w:p w14:paraId="6FCD92E8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打印：打印当前笼盒的标签；</w:t>
      </w:r>
    </w:p>
    <w:p w14:paraId="056CACA5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饲养报告：报告当前笼盒是饲养状况，如：动物饲养、超量饲养、需要分笼等信息，支持拍照上传，系统通知到笼盒联系人同时支持抄送课题组负责人，兽医；</w:t>
      </w:r>
    </w:p>
    <w:p w14:paraId="5061D9FE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清理笼盒：清理当前笼盒内的动物，并释放该笼盒；</w:t>
      </w:r>
    </w:p>
    <w:p w14:paraId="036892D2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编辑笼子：编辑当前笼盒的名称、笼卡颜色、默认显示信息；</w:t>
      </w:r>
    </w:p>
    <w:p w14:paraId="302EAE0A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修改状态：修改当前笼盒内所有动物的状态信息；</w:t>
      </w:r>
    </w:p>
    <w:p w14:paraId="13B9DCDB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订单信息：修改当前笼盒关联的订单信息，包括：联系人，饲养价格；</w:t>
      </w:r>
    </w:p>
    <w:p w14:paraId="4FCCA911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清空订单：清空当前笼盒关联的订单信息。</w:t>
      </w:r>
    </w:p>
    <w:p w14:paraId="207FCF9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动物操作：先选择要操作的动物，然后选择：</w:t>
      </w:r>
    </w:p>
    <w:p w14:paraId="729DB463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处死：处死当前动物，需要填写处死原因；</w:t>
      </w:r>
    </w:p>
    <w:p w14:paraId="2CA24740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编辑：编辑当前动物信息，包括：动物类型、品系、生日、标号、代数、毛色、描述等；</w:t>
      </w:r>
    </w:p>
    <w:p w14:paraId="2719B657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移动/分笼：可以选择自动获得位置或指定位置，如果是自动获得位置，则需要指定房间，留空则默认当前房间，如果是指定位置，则需要扫描目标位置的二维码。移动操作完成，系统弹出打印窗口，提示打印新笼盒标签；</w:t>
      </w:r>
    </w:p>
    <w:p w14:paraId="11C9CAEA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配繁：选择一只雄鼠，点击配繁，系统提示扫描雌鼠所在的笼盒的二维码，系统列出该笼盒中的雌鼠，用户选择后，填写子代信息，并提交；</w:t>
      </w:r>
    </w:p>
    <w:p w14:paraId="1EB2577E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测量数据：选择动物之后，点击测量数据，支持体重、肛温的数据测量。</w:t>
      </w:r>
    </w:p>
    <w:p w14:paraId="387AEAD3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繁殖笼操作</w:t>
      </w:r>
    </w:p>
    <w:p w14:paraId="254934FD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报告产仔：点击报告产仔按钮，填写父母信息、出生时间、是否需要鉴定、代数、代数别名等信息；</w:t>
      </w:r>
    </w:p>
    <w:p w14:paraId="3C1DBCEF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剪尾：点击剪尾按钮，进入剪尾界面，输入雌雄数量，系统生成对应的动物信息，小鼠编号可按照品系自动生成；</w:t>
      </w:r>
    </w:p>
    <w:p w14:paraId="0058EA5A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见栓日期填写：选择雌鼠，点击“见栓日期”，填写雌鼠的见栓日期；</w:t>
      </w:r>
    </w:p>
    <w:p w14:paraId="618CAA8B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分笼：分笼逻辑与普通小鼠的移动操作一致。</w:t>
      </w:r>
    </w:p>
    <w:p w14:paraId="188E72A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位核查：支持从左到右，从上到下扫描笼架上笼盒的二维码，进行笼位核查，可针对核查过程中发现的问题及时处理，如：清空笼盒信息、修改订单信息、复制笼卡、锁定位置等。每个笼架核查结束以后，提交核查结果，系统自动计算出笼位的变化，比如：哪些是新增、哪些是删除、哪些移动了位置。</w:t>
      </w:r>
    </w:p>
    <w:p w14:paraId="01730C8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繁殖笼信息：以标签页的方式，展示当前登录用户的所有：需要检查出生状况的繁殖笼、所有需要剪尾的窝崽、所有需要分笼的窝崽。</w:t>
      </w:r>
    </w:p>
    <w:p w14:paraId="7CADF66E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动物接收功能：学生携带粘贴二维码的纸盒进入设施，设施管理员通过扫描该二维码，对动物进行接收操作，并打印真实的饲养二维码，贴在笼盒标签上。</w:t>
      </w:r>
    </w:p>
    <w:p w14:paraId="753CFE3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扫一扫功能：APP除了可以连接扫码枪，同时可以利用平板电脑自带的摄像头进行扫一扫功能，在扫描到笼架、笼盒、订单等二维码的时候，系统可以自动跳转到对应的界面。</w:t>
      </w:r>
    </w:p>
    <w:p w14:paraId="44DA1E8D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动物订购</w:t>
      </w:r>
    </w:p>
    <w:p w14:paraId="549840D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订购订单：用户可在线浏览动物信息，并加入购物车，需要提交的动物信息包括：动物供应商、品种、品系、等级、周龄、体重、性别；如果需要饲养，则需要填写饲养申请信息，包括饲养时间、笼数等。订单提交时候，可冻结该笔订单的费用；</w:t>
      </w:r>
    </w:p>
    <w:p w14:paraId="68CA404B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订单审核流程：订单先由课题组负责审核，审核通过以后，如果动物需要饲养，则流转至饲养区域审核，支持批量审核，审核结果包括：通过、未通过。通过以后，采购负责审核。动物到达后，订单可以编辑包装费、运输费；</w:t>
      </w:r>
    </w:p>
    <w:p w14:paraId="70C25F6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订单发送：系统支持直接将待订购的动物，以附件的形式，发送到供应商提供的邮箱；</w:t>
      </w:r>
    </w:p>
    <w:p w14:paraId="2113CB2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投标方需要提供独立于本系统的独立平台，供实验动物供应商使用，支持供应商维护产品价格，动物中心直接同步供应商的价格信息，支持动物中心直接同步订单到供应商平台，供应商对订单进行反馈，反馈信息直接同步到订单联系人。供应商可根据订单生成结算单，并可将结算单推送到课题组或动物中心财务负责老师，课题组对结算单进行确认后，供应商可上传电子发票，课题组下载电子发票，进行报销；</w:t>
      </w:r>
    </w:p>
    <w:p w14:paraId="4FD42B3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动物订单打印：对于已经到达的动物，可以打印相应的订单二维码标签，为动物进入饲养区域做准备；</w:t>
      </w:r>
    </w:p>
    <w:p w14:paraId="7BE06B07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自动导入笼盒和动物：在动物到达以后，可以自动导入饲养申请的笼盒以及动物。</w:t>
      </w:r>
    </w:p>
    <w:p w14:paraId="7E2CA0D8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课题组项目实验管理</w:t>
      </w:r>
    </w:p>
    <w:p w14:paraId="0FC5E6F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课题组项目管理，可导出支持上级实验动物监管平台的格式，可查看所有课题，包括正在开展的，结题的课题账单明细，也可以设置课题结账状态；</w:t>
      </w:r>
    </w:p>
    <w:p w14:paraId="268823AA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课题组实验管理，可管理客户正在进行的实验，查看实验相关的伦理申请、目前在用的笼位情况等信息；</w:t>
      </w:r>
    </w:p>
    <w:p w14:paraId="563DCC02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相关统计：统计实验以及项目的信息。</w:t>
      </w:r>
    </w:p>
    <w:p w14:paraId="33369AAC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财务管理</w:t>
      </w:r>
    </w:p>
    <w:p w14:paraId="73099C0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账户管理、支持账户透支额度设置；</w:t>
      </w:r>
    </w:p>
    <w:p w14:paraId="0501BA8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充值结算，可新增、查询、编辑课题组的支付记录；</w:t>
      </w:r>
    </w:p>
    <w:p w14:paraId="749E32FC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退款记录，可通过此功能，处理需要退款给课题组的情况；</w:t>
      </w:r>
    </w:p>
    <w:p w14:paraId="22EA3DB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消费记录查询，可按动物费、技术服务费等分别查询；</w:t>
      </w:r>
    </w:p>
    <w:p w14:paraId="37CCA4C0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流水查询，对某财务账户操作流水记录的查询；</w:t>
      </w:r>
    </w:p>
    <w:p w14:paraId="34EE05E3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账单查询，系统自动按照季度或月份，生成课题组的账单，财务人员可确认账单，并支持发送账单到课题组负责人。同时可以按照动物账单、饲养账单，技术服务账单分别查看；</w:t>
      </w:r>
    </w:p>
    <w:p w14:paraId="4416B8E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供应商结算单：支持查看实验动物供应商推送过来的结算单；</w:t>
      </w:r>
    </w:p>
    <w:p w14:paraId="59AD285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财务统计，支持财务概况统计、付款统计、欠费统计等，有预付款的直接按月抵扣（项目负责人能够随时查看），金额不足时，系统自动提醒管理人员和项目负责人；</w:t>
      </w:r>
    </w:p>
    <w:p w14:paraId="3855B72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支持多成本中心，按照分设施或区域，进行独立核算。</w:t>
      </w:r>
    </w:p>
    <w:p w14:paraId="2E6617E0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服务价格管理</w:t>
      </w:r>
    </w:p>
    <w:p w14:paraId="4CA43123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动物订购管理；</w:t>
      </w:r>
    </w:p>
    <w:p w14:paraId="2E0A51C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动物订购价格管理，可以根据：客户单位，供应商、动物级别、周龄、性别、体重等规格的不同，设置不同的价格；</w:t>
      </w:r>
    </w:p>
    <w:p w14:paraId="1EAB0AF4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技术服务以及价格管理；</w:t>
      </w:r>
    </w:p>
    <w:p w14:paraId="71254B78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饲养服务以及价格维护；</w:t>
      </w:r>
    </w:p>
    <w:p w14:paraId="62D8A76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屏障进出服务以及价格维护；</w:t>
      </w:r>
    </w:p>
    <w:p w14:paraId="4586105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动物供应商管理；</w:t>
      </w:r>
    </w:p>
    <w:p w14:paraId="51A50C1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支持不同类别的客户，不同价格。</w:t>
      </w:r>
    </w:p>
    <w:p w14:paraId="3D9670F4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任务工单</w:t>
      </w:r>
    </w:p>
    <w:p w14:paraId="4BD3B2AF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首页：以日历方式展示当前登录用户需要处理的任务；</w:t>
      </w:r>
    </w:p>
    <w:p w14:paraId="3EA415F0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我的任务：展示需要当前登录用户处理的任务；</w:t>
      </w:r>
    </w:p>
    <w:p w14:paraId="0E1EE9B5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我已完成的任务：展示当前登录用户已经完成的任务；</w:t>
      </w:r>
    </w:p>
    <w:p w14:paraId="29EAA6B6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小组任务：展示任务组的所有任务；</w:t>
      </w:r>
    </w:p>
    <w:p w14:paraId="36EA46A0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所有任务：管理员可以查看系统中所有任务；</w:t>
      </w:r>
    </w:p>
    <w:p w14:paraId="73C5BB14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服务工单：查看和管理用户提交的所有工单申请；</w:t>
      </w:r>
    </w:p>
    <w:p w14:paraId="09479F72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计划任务：可以针对周期性的任务，定制计划任务，自动通知相关人员去处理某个事情；</w:t>
      </w:r>
    </w:p>
    <w:p w14:paraId="30C25D3E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人员管理：管理任务工单模块的相关人员；</w:t>
      </w:r>
    </w:p>
    <w:p w14:paraId="6C60CF32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操作员可以提交任务的数据，同时完成任务，完成任务时候可以填写实际操作数量，系统按照实际操作的数量进行计费。</w:t>
      </w:r>
    </w:p>
    <w:p w14:paraId="3655A2AD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系统支持采用自定义表单。动物中心管理员可以自行制定表单、可以插入至已有的业务流程，指定特定的账号进行相应填写并汇总至数据库中。技术服务流程，支持在线编辑工作流。</w:t>
      </w:r>
    </w:p>
    <w:p w14:paraId="406239CA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动物转运</w:t>
      </w:r>
    </w:p>
    <w:p w14:paraId="10D34869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首页需要能展示当前在执行的转运记录；</w:t>
      </w:r>
    </w:p>
    <w:p w14:paraId="47DEE973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转运申请：显示所有课题组提交的转运申请，可以在线审核；</w:t>
      </w:r>
    </w:p>
    <w:p w14:paraId="201BD391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转运执行单：显示所有课题组人员提交的执行单；</w:t>
      </w:r>
    </w:p>
    <w:p w14:paraId="4CD11BB8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可转运课题组：显示所有可以提交转运申请的课题组；</w:t>
      </w:r>
    </w:p>
    <w:p w14:paraId="6A4F5A4B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违规记录：显示在转运过程中有违规情况的人员；</w:t>
      </w:r>
    </w:p>
    <w:p w14:paraId="26FA19B5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物品传出：显示物品传出记录；</w:t>
      </w:r>
    </w:p>
    <w:p w14:paraId="4687A96C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系统支持打印转运执行单，支持设施负责人、安保人员等扫码放行小鼠；</w:t>
      </w:r>
    </w:p>
    <w:p w14:paraId="2DAC7D7A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转运统计：统计系统中所有转运记录。</w:t>
      </w:r>
    </w:p>
    <w:p w14:paraId="38CA169D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设施管理</w:t>
      </w:r>
    </w:p>
    <w:p w14:paraId="05659AC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校区、建筑、楼层、区域、饲养房间等管理；</w:t>
      </w:r>
    </w:p>
    <w:p w14:paraId="67688161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房门管理，支持根据用户性别进行限制；</w:t>
      </w:r>
    </w:p>
    <w:p w14:paraId="4F9CDB10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设施授权管理：支持给指定用户设置房间权限，同时支持设置设施进出权限规则，即可实现：进入A区域之后一定时间内不允许进入B区域；可以按照个人、课题组授权，支持权限组，以及权限申请的审核；</w:t>
      </w:r>
    </w:p>
    <w:p w14:paraId="1340027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门禁控制器管理，管理所有接入系统的门禁控制器、识别设备等信息；</w:t>
      </w:r>
    </w:p>
    <w:p w14:paraId="25C26020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笼架管理，管理动物饲养的笼架信息、支持设置行或列使用字母表示；</w:t>
      </w:r>
    </w:p>
    <w:p w14:paraId="458D503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系统能够对接现有的门禁系统，自动上传权限到门禁控制器；</w:t>
      </w:r>
    </w:p>
    <w:p w14:paraId="019E09C6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支持对接培训结果，自动开通设施权限；</w:t>
      </w:r>
    </w:p>
    <w:p w14:paraId="08BCF3AB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设施环境监测：支持录入病原、环境、饮用水、饲料、垫料、压力容器、传递舱等监测记录。</w:t>
      </w:r>
    </w:p>
    <w:p w14:paraId="0474FF9E">
      <w:pPr>
        <w:numPr>
          <w:ilvl w:val="0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设施监测</w:t>
      </w:r>
    </w:p>
    <w:p w14:paraId="2676848A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主菜单显示监测设备当前最新的数据、状态，可点击查看某个监控项的曲线图；</w:t>
      </w:r>
    </w:p>
    <w:p w14:paraId="028E29C9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监测设备管理：管理所有需要监控的设备，支持按照设备类型查看；</w:t>
      </w:r>
    </w:p>
    <w:p w14:paraId="7E8C4055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监测数据：查看系统中的监测数据，支持导出；</w:t>
      </w:r>
    </w:p>
    <w:p w14:paraId="79DCAEC2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监测规则管理：管理系统中所有的监测规则，支持给规则设定不同的监测指标、通知类型、通知人、通知间隔、延迟报警等。</w:t>
      </w:r>
    </w:p>
    <w:p w14:paraId="3ED54294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移动端支持</w:t>
      </w:r>
    </w:p>
    <w:p w14:paraId="0C68207A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提供移动网页版；</w:t>
      </w:r>
    </w:p>
    <w:p w14:paraId="3503E797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可嵌入现有公众号；</w:t>
      </w:r>
    </w:p>
    <w:p w14:paraId="6AC4D33B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可嵌入现有移动门户；</w:t>
      </w:r>
    </w:p>
    <w:p w14:paraId="3EA695F0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供应商应提供统一的移动端APP安装包，即：动物房内部使用的平板电脑与外部学生或工作人员的手机，使用相同的APP安装包，APP自动根据平板或手机进行自适应。</w:t>
      </w:r>
    </w:p>
    <w:p w14:paraId="528A37A1">
      <w:pPr>
        <w:pStyle w:val="12"/>
        <w:numPr>
          <w:ilvl w:val="0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系统集成</w:t>
      </w:r>
    </w:p>
    <w:p w14:paraId="7761C68F">
      <w:pPr>
        <w:numPr>
          <w:ilvl w:val="1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对接IVC设备</w:t>
      </w:r>
    </w:p>
    <w:p w14:paraId="2CCD6059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系统可对接IVC设备，读取IVC的温湿度等环境参数，并提供展示和报警；</w:t>
      </w:r>
    </w:p>
    <w:p w14:paraId="593A59B3">
      <w:pPr>
        <w:numPr>
          <w:ilvl w:val="2"/>
          <w:numId w:val="1"/>
        </w:numPr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IVC数据可以通过手机端APP和网页端查看；</w:t>
      </w:r>
    </w:p>
    <w:p w14:paraId="71C2A144">
      <w:pPr>
        <w:pStyle w:val="12"/>
        <w:numPr>
          <w:ilvl w:val="1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对接动物房门禁系统</w:t>
      </w:r>
    </w:p>
    <w:p w14:paraId="1D92FC88">
      <w:pPr>
        <w:pStyle w:val="12"/>
        <w:numPr>
          <w:ilvl w:val="2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自动上传权限：系统可以自动将权限上传到门禁系统；</w:t>
      </w:r>
    </w:p>
    <w:p w14:paraId="2C708820">
      <w:pPr>
        <w:pStyle w:val="12"/>
        <w:numPr>
          <w:ilvl w:val="2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下载刷卡记录：系统可以从门禁系统下载刷卡记录；</w:t>
      </w:r>
    </w:p>
    <w:p w14:paraId="5B0E0701">
      <w:pPr>
        <w:pStyle w:val="12"/>
        <w:numPr>
          <w:ilvl w:val="2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进出统计：系统可以根据用户刷卡记录，进行进出统计，为进出计费做出依据；</w:t>
      </w:r>
    </w:p>
    <w:p w14:paraId="53B6489E">
      <w:pPr>
        <w:pStyle w:val="12"/>
        <w:numPr>
          <w:ilvl w:val="2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进出路径分析：根据用户刷卡记录，进行路径分析，得出用户的进出路径；</w:t>
      </w:r>
    </w:p>
    <w:p w14:paraId="099EA51F">
      <w:pPr>
        <w:pStyle w:val="12"/>
        <w:numPr>
          <w:ilvl w:val="2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针对不同清洁级别的设施，支持对进出流向进行控制；</w:t>
      </w:r>
    </w:p>
    <w:p w14:paraId="7C8C6417">
      <w:pPr>
        <w:pStyle w:val="12"/>
        <w:numPr>
          <w:ilvl w:val="2"/>
          <w:numId w:val="1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FF0000"/>
          <w:szCs w:val="21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自助人脸、指纹录入或开卡功能：系统应能够提供桌面程序，让学生登录程序后，若通过准入培训，则提示用户自动录入人脸、指纹或开卡等操作。</w:t>
      </w:r>
    </w:p>
    <w:p w14:paraId="631B54F9">
      <w:pPr>
        <w:ind w:left="840"/>
        <w:rPr>
          <w:rFonts w:ascii="宋体" w:hAnsi="宋体" w:eastAsia="宋体" w:cs="宋体"/>
          <w:color w:val="000000"/>
          <w:kern w:val="0"/>
          <w:sz w:val="24"/>
          <w:lang w:bidi="ar"/>
        </w:rPr>
      </w:pPr>
    </w:p>
    <w:p w14:paraId="62A08513">
      <w:pPr>
        <w:pStyle w:val="12"/>
        <w:numPr>
          <w:ilvl w:val="0"/>
          <w:numId w:val="2"/>
        </w:numPr>
        <w:ind w:firstLineChars="0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配套硬件</w:t>
      </w:r>
    </w:p>
    <w:p w14:paraId="7647D873">
      <w:pPr>
        <w:widowControl/>
        <w:ind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供应商配套提供安卓平板电脑、无线扫码枪、标签打印机，硬件参数满足项目使用要求；硬件按照原厂标准质保。</w:t>
      </w:r>
    </w:p>
    <w:tbl>
      <w:tblPr>
        <w:tblStyle w:val="9"/>
        <w:tblW w:w="4684" w:type="pct"/>
        <w:tblInd w:w="538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98"/>
        <w:gridCol w:w="6162"/>
        <w:gridCol w:w="846"/>
      </w:tblGrid>
      <w:tr w14:paraId="27FF61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blHeader/>
        </w:trPr>
        <w:tc>
          <w:tcPr>
            <w:tcW w:w="62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C3B9BB">
            <w:pPr>
              <w:widowControl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lang w:bidi="ar"/>
              </w:rPr>
              <w:t>设备</w:t>
            </w:r>
          </w:p>
        </w:tc>
        <w:tc>
          <w:tcPr>
            <w:tcW w:w="3847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80BAFE">
            <w:pPr>
              <w:widowControl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lang w:bidi="ar"/>
              </w:rPr>
              <w:t>规格参数</w:t>
            </w:r>
          </w:p>
        </w:tc>
        <w:tc>
          <w:tcPr>
            <w:tcW w:w="528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9B2EBF">
            <w:pPr>
              <w:widowControl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lang w:bidi="ar"/>
              </w:rPr>
              <w:t>数量</w:t>
            </w:r>
          </w:p>
        </w:tc>
      </w:tr>
      <w:tr w14:paraId="60AC31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blHeader/>
        </w:trPr>
        <w:tc>
          <w:tcPr>
            <w:tcW w:w="62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B57A8A">
            <w:pPr>
              <w:widowControl/>
              <w:jc w:val="left"/>
            </w:pPr>
            <w:r>
              <w:rPr>
                <w:rFonts w:hint="eastAsia" w:ascii="宋体" w:hAnsi="宋体" w:eastAsia="宋体" w:cs="宋体"/>
                <w:color w:val="C00000"/>
                <w:kern w:val="0"/>
                <w:sz w:val="24"/>
                <w:lang w:bidi="ar"/>
              </w:rPr>
              <w:t>▲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安卓平板电脑</w:t>
            </w:r>
          </w:p>
        </w:tc>
        <w:tc>
          <w:tcPr>
            <w:tcW w:w="3847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1DBF05">
            <w:pPr>
              <w:widowControl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  <w:t>至少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10.1寸，</w:t>
            </w:r>
            <w:r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  <w:t>至少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4G运行内存，</w:t>
            </w:r>
            <w:r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  <w:t>至少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128G存储，</w:t>
            </w:r>
            <w:r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  <w:t>支持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蓝牙，WIFI</w:t>
            </w:r>
          </w:p>
        </w:tc>
        <w:tc>
          <w:tcPr>
            <w:tcW w:w="528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E87BBB">
            <w:pPr>
              <w:widowControl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10台</w:t>
            </w:r>
          </w:p>
        </w:tc>
      </w:tr>
      <w:tr w14:paraId="5CC619B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blHeader/>
        </w:trPr>
        <w:tc>
          <w:tcPr>
            <w:tcW w:w="62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35F3AD">
            <w:pPr>
              <w:widowControl/>
              <w:jc w:val="left"/>
            </w:pPr>
            <w:r>
              <w:rPr>
                <w:rFonts w:hint="eastAsia" w:ascii="宋体" w:hAnsi="宋体" w:eastAsia="宋体" w:cs="宋体"/>
                <w:color w:val="C00000"/>
                <w:kern w:val="0"/>
                <w:sz w:val="24"/>
                <w:lang w:bidi="ar"/>
              </w:rPr>
              <w:t>▲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无线扫码枪</w:t>
            </w:r>
          </w:p>
        </w:tc>
        <w:tc>
          <w:tcPr>
            <w:tcW w:w="3847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B49939">
            <w:pPr>
              <w:widowControl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抗震能力1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noBreakHyphen/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1.5M，扫描精度：5mil，无线传输：0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noBreakHyphen/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40M、蓝牙、可充电、支持条码 / 二维码</w:t>
            </w:r>
          </w:p>
        </w:tc>
        <w:tc>
          <w:tcPr>
            <w:tcW w:w="528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4E48A6">
            <w:pPr>
              <w:widowControl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  <w:t>台</w:t>
            </w:r>
          </w:p>
        </w:tc>
      </w:tr>
      <w:tr w14:paraId="7B73B5E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blHeader/>
        </w:trPr>
        <w:tc>
          <w:tcPr>
            <w:tcW w:w="623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289A79">
            <w:pPr>
              <w:widowControl/>
              <w:jc w:val="left"/>
            </w:pPr>
            <w:r>
              <w:rPr>
                <w:rFonts w:hint="eastAsia" w:ascii="宋体" w:hAnsi="宋体" w:eastAsia="宋体" w:cs="宋体"/>
                <w:color w:val="C00000"/>
                <w:kern w:val="0"/>
                <w:sz w:val="24"/>
                <w:lang w:bidi="ar"/>
              </w:rPr>
              <w:t>▲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标签打印机</w:t>
            </w:r>
          </w:p>
        </w:tc>
        <w:tc>
          <w:tcPr>
            <w:tcW w:w="3847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E429DB">
            <w:pPr>
              <w:widowControl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打印速度：150mm/s，最大宽度：108mm，分辨率：203DPI，支持二维码</w:t>
            </w:r>
          </w:p>
        </w:tc>
        <w:tc>
          <w:tcPr>
            <w:tcW w:w="528" w:type="pct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05EA56">
            <w:pPr>
              <w:widowControl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  <w:t>5</w:t>
            </w: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台</w:t>
            </w:r>
          </w:p>
        </w:tc>
      </w:tr>
    </w:tbl>
    <w:p w14:paraId="28A39868">
      <w:pPr>
        <w:pStyle w:val="3"/>
        <w:widowControl/>
        <w:spacing w:beforeAutospacing="0" w:afterAutospacing="0" w:line="360" w:lineRule="atLeast"/>
        <w:ind w:firstLine="482" w:firstLineChars="200"/>
        <w:rPr>
          <w:rFonts w:hint="default"/>
          <w:color w:val="000000"/>
          <w:sz w:val="24"/>
          <w:szCs w:val="24"/>
        </w:rPr>
      </w:pPr>
    </w:p>
    <w:p w14:paraId="2410721B">
      <w:pPr>
        <w:pStyle w:val="3"/>
        <w:widowControl/>
        <w:spacing w:beforeAutospacing="0" w:afterAutospacing="0" w:line="360" w:lineRule="atLeast"/>
        <w:ind w:firstLine="482" w:firstLineChars="200"/>
        <w:rPr>
          <w:rFonts w:hint="defaul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三、商务要求</w:t>
      </w:r>
    </w:p>
    <w:p w14:paraId="6F509FAA">
      <w:pPr>
        <w:widowControl/>
        <w:spacing w:line="360" w:lineRule="atLeast"/>
        <w:ind w:firstLine="480" w:firstLineChars="200"/>
        <w:jc w:val="left"/>
        <w:rPr>
          <w:color w:val="00000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1、总体要求：供应商应根据项目要求和建设内容，提供详细的总体设计方案、实施方案、功能测试方案、试运行方案、培训方案、售后服务方案。软件及硬件自合同验收日起，质保期不少于 1 年。</w:t>
      </w:r>
    </w:p>
    <w:p w14:paraId="142F33AF">
      <w:pPr>
        <w:widowControl/>
        <w:spacing w:line="360" w:lineRule="atLeast"/>
        <w:ind w:firstLine="480" w:firstLineChars="200"/>
        <w:jc w:val="left"/>
        <w:rPr>
          <w:color w:val="00000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2、实施要求：供应商应根据招标文件要求及本项目特点，制订项目实施方案，包括联合调试方案、各节点时间进度、人员配置安排等。实施方案应做到完整全面、科学可行，并有针对性，配备具有相应资质和经验的项目经理及技术服务人员，服从采购人管理要求，确保在规定的交付时限内完成；</w:t>
      </w:r>
    </w:p>
    <w:p w14:paraId="1AFFABEB">
      <w:pPr>
        <w:widowControl/>
        <w:spacing w:line="360" w:lineRule="atLeast"/>
        <w:ind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3、项目团队人员</w:t>
      </w:r>
    </w:p>
    <w:p w14:paraId="1E95CF1E">
      <w:pPr>
        <w:widowControl/>
        <w:spacing w:line="360" w:lineRule="atLeast"/>
        <w:ind w:firstLine="480" w:firstLineChars="200"/>
        <w:jc w:val="left"/>
        <w:rPr>
          <w:color w:val="00000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3.1、供应商应成立专门的项目团队，项目经理应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项目经理有</w:t>
      </w:r>
      <w:sdt>
        <w:sdtPr>
          <w:rPr>
            <w:rFonts w:hint="eastAsia" w:ascii="宋体" w:hAnsi="宋体" w:eastAsia="宋体" w:cs="宋体"/>
            <w:color w:val="000000"/>
            <w:kern w:val="0"/>
            <w:sz w:val="24"/>
            <w:lang w:bidi="ar"/>
          </w:rPr>
          <w:id w:val="147466372"/>
          <w:placeholder>
            <w:docPart w:val="{0d0abcf0-1404-4986-b606-0179b57a147d}"/>
          </w:placeholder>
        </w:sdtPr>
        <w:sdtEndPr>
          <w:rPr>
            <w:rFonts w:hint="eastAsia" w:ascii="宋体" w:hAnsi="宋体" w:eastAsia="宋体" w:cs="宋体"/>
            <w:color w:val="000000"/>
            <w:kern w:val="0"/>
            <w:sz w:val="24"/>
            <w:lang w:bidi="ar"/>
          </w:rPr>
        </w:sdtEndPr>
        <w:sdtContent>
          <w:r>
            <w:rPr>
              <w:rFonts w:hint="eastAsia" w:ascii="宋体" w:hAnsi="宋体" w:eastAsia="宋体" w:cs="宋体"/>
              <w:color w:val="000000"/>
              <w:kern w:val="0"/>
              <w:sz w:val="24"/>
              <w:lang w:bidi="ar"/>
            </w:rPr>
            <w:t>3</w:t>
          </w:r>
        </w:sdtContent>
      </w:sdt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年以上项目经验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，并参与项目整个开发和实施的过程。项目组成员应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具有参与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5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例以上类似案例的经验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，同时提供详细的人员配置情况，工作内容分工情况，岗位人员职责明细情况。</w:t>
      </w:r>
    </w:p>
    <w:p w14:paraId="11080B00">
      <w:pPr>
        <w:widowControl/>
        <w:spacing w:line="36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3.2、</w:t>
      </w:r>
      <w:r>
        <w:rPr>
          <w:rFonts w:ascii="宋体" w:hAnsi="宋体" w:eastAsia="宋体" w:cs="宋体"/>
          <w:sz w:val="24"/>
        </w:rPr>
        <w:t>供应商配置 1 名项目经理及 2 名服务工程师专职为本项目提供技术服务，项目经理与服务工程师不得互相兼任。采用远程技术支持 + 按需现场到场服务模式。工作响应要求：工作日提供技术支持服务；非工作时间提供 7×24 小时电话、远程值班服务；系统故障发生后须</w:t>
      </w:r>
      <w:r>
        <w:rPr>
          <w:rStyle w:val="11"/>
          <w:rFonts w:ascii="宋体" w:hAnsi="宋体" w:eastAsia="宋体" w:cs="宋体"/>
          <w:bCs/>
          <w:color w:val="000000"/>
          <w:sz w:val="24"/>
        </w:rPr>
        <w:t>2 小时内响应</w:t>
      </w:r>
      <w:r>
        <w:rPr>
          <w:rFonts w:ascii="宋体" w:hAnsi="宋体" w:eastAsia="宋体" w:cs="宋体"/>
          <w:sz w:val="24"/>
        </w:rPr>
        <w:t xml:space="preserve">，远程优先处置；如远程无法解决，须在 </w:t>
      </w:r>
      <w:r>
        <w:rPr>
          <w:rFonts w:hint="eastAsia" w:ascii="宋体" w:hAnsi="宋体" w:eastAsia="宋体" w:cs="宋体"/>
          <w:sz w:val="24"/>
        </w:rPr>
        <w:t>2</w:t>
      </w:r>
      <w:r>
        <w:rPr>
          <w:rFonts w:ascii="宋体" w:hAnsi="宋体" w:eastAsia="宋体" w:cs="宋体"/>
          <w:sz w:val="24"/>
        </w:rPr>
        <w:t>4 小时内安排工程师到达采购人现场排查处置。</w:t>
      </w:r>
    </w:p>
    <w:p w14:paraId="3D37FAD4">
      <w:pPr>
        <w:widowControl/>
        <w:spacing w:line="360" w:lineRule="atLeast"/>
        <w:ind w:firstLine="480" w:firstLineChars="200"/>
        <w:jc w:val="left"/>
        <w:rPr>
          <w:color w:val="00000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4、供应商应对项目的需求分析阶段、系统实施准备阶段、系统培训阶段、系统部署阶段、系统试运行阶段、系统验收阶段做出详细的实施方案。对项目的组织机构、人员及职责、工作内容、进度计划做出详细的安排。</w:t>
      </w:r>
    </w:p>
    <w:p w14:paraId="02585B96">
      <w:pPr>
        <w:widowControl/>
        <w:spacing w:line="360" w:lineRule="atLeast"/>
        <w:ind w:firstLine="480" w:firstLineChars="200"/>
        <w:jc w:val="left"/>
        <w:rPr>
          <w:color w:val="00000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5、项目实施流程需按照医院管理规定进行，详细记录系统实施上线的全过程，形成完善的工作文档，并在信息管理系统中归档。</w:t>
      </w:r>
    </w:p>
    <w:p w14:paraId="28961C94">
      <w:pPr>
        <w:widowControl/>
        <w:spacing w:line="360" w:lineRule="atLeast"/>
        <w:ind w:firstLine="480" w:firstLineChars="200"/>
        <w:jc w:val="left"/>
        <w:rPr>
          <w:color w:val="00000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6、需遵守医院的信息安全规章制度，未经许可不得泄露医院任何资料包括技术文档，数据文件，应用程序等，遵守科研数据、实验动物相关保密规定，不得泄露课题信息、实验相关数据。</w:t>
      </w:r>
    </w:p>
    <w:p w14:paraId="73828866">
      <w:pPr>
        <w:widowControl/>
        <w:spacing w:line="360" w:lineRule="atLeast"/>
        <w:ind w:firstLine="480" w:firstLineChars="200"/>
        <w:jc w:val="left"/>
        <w:rPr>
          <w:color w:val="00000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7、供应商应具有完善的质量管理和控制体系。对本项目的风险预见以及风险规避有系统的解决方案，对项目进行中的突发事件应有相应的应急预案。</w:t>
      </w:r>
    </w:p>
    <w:p w14:paraId="3290ABED">
      <w:pPr>
        <w:widowControl/>
        <w:spacing w:line="360" w:lineRule="atLeast"/>
        <w:ind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8、结算方式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：</w:t>
      </w:r>
    </w:p>
    <w:p w14:paraId="70757E87">
      <w:pPr>
        <w:widowControl/>
        <w:spacing w:line="360" w:lineRule="atLeast"/>
        <w:ind w:firstLine="897" w:firstLineChars="374"/>
        <w:jc w:val="left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按项目最总成交价结算</w:t>
      </w:r>
    </w:p>
    <w:p w14:paraId="2871D138">
      <w:pPr>
        <w:ind w:firstLine="480" w:firstLineChars="200"/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9、付款方式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：</w:t>
      </w:r>
      <w:bookmarkStart w:id="0" w:name="OLE_LINK43"/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合同签订且具备实施条件后7个工作日内支付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40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%，验收合格之后满足付款条件7个工作日内支付剩余款项。（在签订合同时，供应商明确表示无需预付款或者主动要求降低预付款比例的，采购单位可不适用前述规定</w:t>
      </w:r>
      <w:bookmarkEnd w:id="0"/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）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。</w:t>
      </w:r>
    </w:p>
    <w:p w14:paraId="1B4FB713">
      <w:pPr>
        <w:widowControl/>
        <w:spacing w:line="360" w:lineRule="atLeast"/>
        <w:ind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lang w:bidi="ar"/>
        </w:rPr>
      </w:pPr>
      <w:r>
        <w:rPr>
          <w:rFonts w:ascii="宋体" w:hAnsi="宋体" w:eastAsia="宋体" w:cs="宋体"/>
          <w:color w:val="000000"/>
          <w:kern w:val="0"/>
          <w:sz w:val="24"/>
          <w:lang w:bidi="ar"/>
        </w:rPr>
        <w:t>10、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质保期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项目验收合格</w:t>
      </w:r>
      <w:r>
        <w:rPr>
          <w:rFonts w:ascii="宋体" w:hAnsi="宋体" w:eastAsia="宋体" w:cs="宋体"/>
          <w:color w:val="000000"/>
          <w:kern w:val="0"/>
          <w:sz w:val="24"/>
          <w:lang w:bidi="ar"/>
        </w:rPr>
        <w:t>之日起</w:t>
      </w:r>
      <w:r>
        <w:rPr>
          <w:rFonts w:hint="eastAsia" w:ascii="宋体" w:hAnsi="宋体" w:eastAsia="宋体" w:cs="宋体"/>
          <w:color w:val="000000"/>
          <w:kern w:val="0"/>
          <w:sz w:val="24"/>
          <w:lang w:eastAsia="zh-CN" w:bidi="ar"/>
        </w:rPr>
        <w:t>，</w:t>
      </w:r>
      <w:r>
        <w:rPr>
          <w:rFonts w:ascii="宋体" w:hAnsi="宋体" w:eastAsia="宋体" w:cs="宋体"/>
          <w:color w:val="auto"/>
          <w:kern w:val="0"/>
          <w:sz w:val="24"/>
          <w:lang w:bidi="ar"/>
        </w:rPr>
        <w:t>质保期不少于 1 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6B5B62"/>
    <w:multiLevelType w:val="multilevel"/>
    <w:tmpl w:val="576B5B62"/>
    <w:lvl w:ilvl="0" w:tentative="0">
      <w:start w:val="2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7FE0142"/>
    <w:multiLevelType w:val="multilevel"/>
    <w:tmpl w:val="77FE014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  <w:b w:val="0"/>
        <w:bCs w:val="0"/>
      </w:rPr>
    </w:lvl>
    <w:lvl w:ilvl="1" w:tentative="0">
      <w:start w:val="1"/>
      <w:numFmt w:val="decimal"/>
      <w:lvlText w:val="%1.%2."/>
      <w:lvlJc w:val="left"/>
      <w:pPr>
        <w:ind w:left="987" w:hanging="567"/>
      </w:pPr>
      <w:rPr>
        <w:rFonts w:hint="default" w:ascii="Times New Roman" w:hAnsi="Times New Roman" w:cs="Times New Roman"/>
        <w:b w:val="0"/>
        <w:bCs w:val="0"/>
        <w:color w:val="auto"/>
      </w:rPr>
    </w:lvl>
    <w:lvl w:ilvl="2" w:tentative="0">
      <w:start w:val="1"/>
      <w:numFmt w:val="decimal"/>
      <w:lvlText w:val="%1.%2.%3."/>
      <w:lvlJc w:val="left"/>
      <w:pPr>
        <w:ind w:left="1549" w:hanging="709"/>
      </w:pPr>
      <w:rPr>
        <w:rFonts w:hint="default" w:ascii="Times New Roman" w:hAnsi="Times New Roman" w:cs="Times New Roman"/>
        <w:b w:val="0"/>
        <w:bCs w:val="0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D48"/>
    <w:rsid w:val="00097B7D"/>
    <w:rsid w:val="001729F9"/>
    <w:rsid w:val="001B3C2C"/>
    <w:rsid w:val="001C2BCD"/>
    <w:rsid w:val="00221BCB"/>
    <w:rsid w:val="003B3756"/>
    <w:rsid w:val="003F7BED"/>
    <w:rsid w:val="004524EA"/>
    <w:rsid w:val="004D61CC"/>
    <w:rsid w:val="00565767"/>
    <w:rsid w:val="00575B41"/>
    <w:rsid w:val="005C5D48"/>
    <w:rsid w:val="005E3B8E"/>
    <w:rsid w:val="00767242"/>
    <w:rsid w:val="00814419"/>
    <w:rsid w:val="0083528F"/>
    <w:rsid w:val="008A0D7B"/>
    <w:rsid w:val="009561B7"/>
    <w:rsid w:val="00BA6A79"/>
    <w:rsid w:val="00C86433"/>
    <w:rsid w:val="00D6519E"/>
    <w:rsid w:val="00E8696D"/>
    <w:rsid w:val="00EF118E"/>
    <w:rsid w:val="00F16348"/>
    <w:rsid w:val="00F81F50"/>
    <w:rsid w:val="00F903E8"/>
    <w:rsid w:val="00FC1DDB"/>
    <w:rsid w:val="130C51E1"/>
    <w:rsid w:val="1A351D92"/>
    <w:rsid w:val="1B7FC6D2"/>
    <w:rsid w:val="27FC1825"/>
    <w:rsid w:val="34FF8645"/>
    <w:rsid w:val="39D226C6"/>
    <w:rsid w:val="3DED2005"/>
    <w:rsid w:val="3DFE47F1"/>
    <w:rsid w:val="3FB5C7FB"/>
    <w:rsid w:val="3FD95D9D"/>
    <w:rsid w:val="3FDE6B15"/>
    <w:rsid w:val="3FEDCD19"/>
    <w:rsid w:val="41CC20AC"/>
    <w:rsid w:val="4666110E"/>
    <w:rsid w:val="4FFE74C0"/>
    <w:rsid w:val="56F7A4D0"/>
    <w:rsid w:val="57FA24B5"/>
    <w:rsid w:val="5BB35B8C"/>
    <w:rsid w:val="5C750AA5"/>
    <w:rsid w:val="5DF53C46"/>
    <w:rsid w:val="5EFB3ED6"/>
    <w:rsid w:val="5EFE94A6"/>
    <w:rsid w:val="5FC7F645"/>
    <w:rsid w:val="5FF8BCB6"/>
    <w:rsid w:val="66FFA544"/>
    <w:rsid w:val="68900873"/>
    <w:rsid w:val="699F21DD"/>
    <w:rsid w:val="6B7EA1DF"/>
    <w:rsid w:val="6BED6834"/>
    <w:rsid w:val="75774BD4"/>
    <w:rsid w:val="75E74077"/>
    <w:rsid w:val="75ED5934"/>
    <w:rsid w:val="77FA0A25"/>
    <w:rsid w:val="78FF5979"/>
    <w:rsid w:val="7CFB389A"/>
    <w:rsid w:val="7EFF0061"/>
    <w:rsid w:val="7EFFB0FC"/>
    <w:rsid w:val="7FAF4AF2"/>
    <w:rsid w:val="7FD521E5"/>
    <w:rsid w:val="7FDD8E7F"/>
    <w:rsid w:val="7FDFD25B"/>
    <w:rsid w:val="7FFB3110"/>
    <w:rsid w:val="9BBB9E73"/>
    <w:rsid w:val="ADEDD4AD"/>
    <w:rsid w:val="AFDE6036"/>
    <w:rsid w:val="B97CF69C"/>
    <w:rsid w:val="BBFF5B5F"/>
    <w:rsid w:val="BCF45891"/>
    <w:rsid w:val="BFDD9670"/>
    <w:rsid w:val="C735534C"/>
    <w:rsid w:val="CC7BEED7"/>
    <w:rsid w:val="D6FEE152"/>
    <w:rsid w:val="D9F7601F"/>
    <w:rsid w:val="DBA7A8E3"/>
    <w:rsid w:val="DBDF07AF"/>
    <w:rsid w:val="DBF5E67B"/>
    <w:rsid w:val="DBF70659"/>
    <w:rsid w:val="E5EF2798"/>
    <w:rsid w:val="E60F3340"/>
    <w:rsid w:val="ECFF8F4B"/>
    <w:rsid w:val="EDFB92D3"/>
    <w:rsid w:val="EFBF3AD6"/>
    <w:rsid w:val="EFD71C95"/>
    <w:rsid w:val="EFE73C2A"/>
    <w:rsid w:val="F4FFEB3F"/>
    <w:rsid w:val="F6575EE0"/>
    <w:rsid w:val="FB7BF5FD"/>
    <w:rsid w:val="FBCFDA99"/>
    <w:rsid w:val="FE7172C5"/>
    <w:rsid w:val="FF69B346"/>
    <w:rsid w:val="FF7B7F65"/>
    <w:rsid w:val="FF8BB1FF"/>
    <w:rsid w:val="FF9FE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5"/>
    <w:qFormat/>
    <w:uiPriority w:val="0"/>
    <w:rPr>
      <w:sz w:val="18"/>
      <w:szCs w:val="18"/>
    </w:rPr>
  </w:style>
  <w:style w:type="paragraph" w:styleId="7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Strong"/>
    <w:basedOn w:val="10"/>
    <w:qFormat/>
    <w:uiPriority w:val="0"/>
    <w:rPr>
      <w:b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眉 字符"/>
    <w:basedOn w:val="10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批注框文本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0d0abcf0-1404-4986-b606-0179b57a147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0ABCF0-1404-4986-B606-0179B57A147D}"/>
      </w:docPartPr>
      <w:docPartBody>
        <w:p w14:paraId="1FC17AA5"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oNotDisplayPageBoundaries w:val="1"/>
  <w:bordersDoNotSurroundHeader w:val="1"/>
  <w:bordersDoNotSurroundFooter w:val="1"/>
  <w:defaultTabStop w:val="4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3B7B7A"/>
    <w:rsid w:val="00051E34"/>
    <w:rsid w:val="001C5A83"/>
    <w:rsid w:val="003B7B7A"/>
    <w:rsid w:val="004B5701"/>
    <w:rsid w:val="006F402D"/>
    <w:rsid w:val="0091303B"/>
    <w:rsid w:val="00C3344D"/>
    <w:rsid w:val="00C62134"/>
    <w:rsid w:val="00DC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11000</Words>
  <Characters>11109</Characters>
  <Lines>87</Lines>
  <Paragraphs>24</Paragraphs>
  <TotalTime>5</TotalTime>
  <ScaleCrop>false</ScaleCrop>
  <LinksUpToDate>false</LinksUpToDate>
  <CharactersWithSpaces>11143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2026-08-29T22:12:00Z</dcterms:created>
  <dc:creator>Yuankai</dc:creator>
  <cp:lastModifiedBy>林一</cp:lastModifiedBy>
  <dcterms:modified xsi:type="dcterms:W3CDTF">2026-10-06T08:03:16Z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eyJoZGlkIjoiNTI1NGEyYWMxYzkzMzRjY2U2ODU1M2E5MTEwZDJiZjkiLCJ1c2VySWQiOiI0ODYyMzg3MjcifQ==</vt:lpwstr>
  </property>
  <property fmtid="{D5CDD505-2E9C-101B-9397-08002B2CF9AE}" pid="4" name="ICV">
    <vt:lpwstr>E2AA6D55E7E840CB9A3C919A07175E85_12</vt:lpwstr>
  </property>
</Properties>
</file>